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7CFDD" w14:textId="74D92D34" w:rsidR="00656F49" w:rsidRPr="00656F49" w:rsidRDefault="00656F49" w:rsidP="00656F49">
      <w:pPr>
        <w:pStyle w:val="Default"/>
        <w:jc w:val="center"/>
        <w:rPr>
          <w:rFonts w:asciiTheme="majorHAnsi" w:hAnsiTheme="majorHAnsi"/>
          <w:color w:val="auto"/>
          <w:sz w:val="28"/>
          <w:szCs w:val="28"/>
        </w:rPr>
      </w:pPr>
      <w:r w:rsidRPr="00656F49">
        <w:rPr>
          <w:rFonts w:asciiTheme="majorHAnsi" w:hAnsiTheme="majorHAnsi" w:cs="Arial"/>
          <w:color w:val="auto"/>
          <w:sz w:val="28"/>
          <w:szCs w:val="28"/>
        </w:rPr>
        <w:t xml:space="preserve">CHARTE </w:t>
      </w:r>
      <w:r w:rsidR="00132DA6">
        <w:rPr>
          <w:rFonts w:asciiTheme="majorHAnsi" w:hAnsiTheme="majorHAnsi" w:cs="Arial"/>
          <w:color w:val="auto"/>
          <w:sz w:val="28"/>
          <w:szCs w:val="28"/>
        </w:rPr>
        <w:t xml:space="preserve">DE </w:t>
      </w:r>
      <w:r w:rsidRPr="00656F49">
        <w:rPr>
          <w:rFonts w:asciiTheme="majorHAnsi" w:hAnsiTheme="majorHAnsi" w:cs="Arial"/>
          <w:color w:val="auto"/>
          <w:sz w:val="28"/>
          <w:szCs w:val="28"/>
        </w:rPr>
        <w:t>D</w:t>
      </w:r>
      <w:r>
        <w:rPr>
          <w:rFonts w:asciiTheme="majorHAnsi" w:hAnsiTheme="majorHAnsi" w:cs="Arial"/>
          <w:color w:val="auto"/>
          <w:sz w:val="28"/>
          <w:szCs w:val="28"/>
        </w:rPr>
        <w:t>É</w:t>
      </w:r>
      <w:r w:rsidRPr="00656F49">
        <w:rPr>
          <w:rFonts w:asciiTheme="majorHAnsi" w:hAnsiTheme="majorHAnsi" w:cs="Arial"/>
          <w:color w:val="auto"/>
          <w:sz w:val="28"/>
          <w:szCs w:val="28"/>
        </w:rPr>
        <w:t>ONTOLOGIE</w:t>
      </w:r>
    </w:p>
    <w:p w14:paraId="73FE117F" w14:textId="48A8B55F" w:rsidR="00656F49" w:rsidRDefault="00656F49" w:rsidP="00656F49">
      <w:pPr>
        <w:pStyle w:val="Default"/>
        <w:jc w:val="center"/>
        <w:rPr>
          <w:rFonts w:asciiTheme="majorHAnsi" w:hAnsiTheme="majorHAnsi" w:cs="Arial"/>
          <w:color w:val="auto"/>
          <w:sz w:val="28"/>
          <w:szCs w:val="28"/>
        </w:rPr>
      </w:pPr>
      <w:r w:rsidRPr="00656F49">
        <w:rPr>
          <w:rFonts w:asciiTheme="majorHAnsi" w:hAnsiTheme="majorHAnsi" w:cs="Arial"/>
          <w:color w:val="auto"/>
          <w:sz w:val="28"/>
          <w:szCs w:val="28"/>
        </w:rPr>
        <w:t>POUR LA GESTION DU PROGRAMME DE BOURSES EXCELLENCE-MAJOR</w:t>
      </w:r>
    </w:p>
    <w:p w14:paraId="08B071E6" w14:textId="77777777" w:rsidR="00873B76" w:rsidRPr="00656F49" w:rsidRDefault="00873B76" w:rsidP="00873B76">
      <w:pPr>
        <w:pStyle w:val="Default"/>
        <w:jc w:val="both"/>
        <w:rPr>
          <w:rFonts w:asciiTheme="minorHAnsi" w:hAnsiTheme="minorHAnsi" w:cs="Arial"/>
          <w:color w:val="auto"/>
          <w:sz w:val="20"/>
          <w:szCs w:val="20"/>
        </w:rPr>
      </w:pPr>
    </w:p>
    <w:p w14:paraId="74F22886" w14:textId="7DD0D6EC" w:rsidR="00656F49" w:rsidRPr="00656F49" w:rsidRDefault="00656F49" w:rsidP="00656F49">
      <w:pPr>
        <w:pStyle w:val="Default"/>
        <w:spacing w:before="240" w:after="240"/>
        <w:jc w:val="both"/>
        <w:rPr>
          <w:rFonts w:asciiTheme="minorHAnsi" w:hAnsiTheme="minorHAnsi" w:cs="Arial"/>
          <w:color w:val="auto"/>
          <w:sz w:val="23"/>
          <w:szCs w:val="23"/>
        </w:rPr>
      </w:pPr>
      <w:r w:rsidRPr="00656F49">
        <w:rPr>
          <w:rFonts w:asciiTheme="minorHAnsi" w:hAnsiTheme="minorHAnsi" w:cs="Arial"/>
          <w:b/>
          <w:bCs/>
          <w:color w:val="auto"/>
          <w:sz w:val="23"/>
          <w:szCs w:val="23"/>
        </w:rPr>
        <w:t>I - DISPOSITIONS RELATIV</w:t>
      </w:r>
      <w:r>
        <w:rPr>
          <w:rFonts w:asciiTheme="minorHAnsi" w:hAnsiTheme="minorHAnsi" w:cs="Arial"/>
          <w:b/>
          <w:bCs/>
          <w:color w:val="auto"/>
          <w:sz w:val="23"/>
          <w:szCs w:val="23"/>
        </w:rPr>
        <w:t>E</w:t>
      </w:r>
      <w:r w:rsidR="006A4D4A">
        <w:rPr>
          <w:rFonts w:asciiTheme="minorHAnsi" w:hAnsiTheme="minorHAnsi" w:cs="Arial"/>
          <w:b/>
          <w:bCs/>
          <w:color w:val="auto"/>
          <w:sz w:val="23"/>
          <w:szCs w:val="23"/>
        </w:rPr>
        <w:t>S</w:t>
      </w:r>
      <w:r>
        <w:rPr>
          <w:rFonts w:asciiTheme="minorHAnsi" w:hAnsiTheme="minorHAnsi" w:cs="Arial"/>
          <w:b/>
          <w:bCs/>
          <w:color w:val="auto"/>
          <w:sz w:val="23"/>
          <w:szCs w:val="23"/>
        </w:rPr>
        <w:t xml:space="preserve"> À</w:t>
      </w:r>
      <w:r w:rsidRPr="00656F49">
        <w:rPr>
          <w:rFonts w:asciiTheme="minorHAnsi" w:hAnsiTheme="minorHAnsi" w:cs="Arial"/>
          <w:b/>
          <w:bCs/>
          <w:color w:val="auto"/>
          <w:sz w:val="23"/>
          <w:szCs w:val="23"/>
        </w:rPr>
        <w:t xml:space="preserve"> LA PR</w:t>
      </w:r>
      <w:r>
        <w:rPr>
          <w:rFonts w:asciiTheme="minorHAnsi" w:hAnsiTheme="minorHAnsi" w:cs="Arial"/>
          <w:b/>
          <w:bCs/>
          <w:color w:val="auto"/>
          <w:sz w:val="23"/>
          <w:szCs w:val="23"/>
        </w:rPr>
        <w:t>É</w:t>
      </w:r>
      <w:r w:rsidRPr="00656F49">
        <w:rPr>
          <w:rFonts w:asciiTheme="minorHAnsi" w:hAnsiTheme="minorHAnsi" w:cs="Arial"/>
          <w:b/>
          <w:bCs/>
          <w:color w:val="auto"/>
          <w:sz w:val="23"/>
          <w:szCs w:val="23"/>
        </w:rPr>
        <w:t>VENTION DES CONFLITS D’INT</w:t>
      </w:r>
      <w:r>
        <w:rPr>
          <w:rFonts w:asciiTheme="minorHAnsi" w:hAnsiTheme="minorHAnsi" w:cs="Arial"/>
          <w:b/>
          <w:bCs/>
          <w:color w:val="auto"/>
          <w:sz w:val="23"/>
          <w:szCs w:val="23"/>
        </w:rPr>
        <w:t>É</w:t>
      </w:r>
      <w:r w:rsidRPr="00656F49">
        <w:rPr>
          <w:rFonts w:asciiTheme="minorHAnsi" w:hAnsiTheme="minorHAnsi" w:cs="Arial"/>
          <w:b/>
          <w:bCs/>
          <w:color w:val="auto"/>
          <w:sz w:val="23"/>
          <w:szCs w:val="23"/>
        </w:rPr>
        <w:t>R</w:t>
      </w:r>
      <w:r>
        <w:rPr>
          <w:rFonts w:asciiTheme="minorHAnsi" w:hAnsiTheme="minorHAnsi" w:cs="Arial"/>
          <w:b/>
          <w:bCs/>
          <w:color w:val="auto"/>
          <w:sz w:val="23"/>
          <w:szCs w:val="23"/>
        </w:rPr>
        <w:t>Ê</w:t>
      </w:r>
      <w:r w:rsidRPr="00656F49">
        <w:rPr>
          <w:rFonts w:asciiTheme="minorHAnsi" w:hAnsiTheme="minorHAnsi" w:cs="Arial"/>
          <w:b/>
          <w:bCs/>
          <w:color w:val="auto"/>
          <w:sz w:val="23"/>
          <w:szCs w:val="23"/>
        </w:rPr>
        <w:t>T</w:t>
      </w:r>
      <w:r w:rsidR="003E3E30">
        <w:rPr>
          <w:rFonts w:asciiTheme="minorHAnsi" w:hAnsiTheme="minorHAnsi" w:cs="Arial"/>
          <w:b/>
          <w:bCs/>
          <w:color w:val="auto"/>
          <w:sz w:val="23"/>
          <w:szCs w:val="23"/>
        </w:rPr>
        <w:t>S</w:t>
      </w:r>
      <w:r w:rsidRPr="00656F49">
        <w:rPr>
          <w:rFonts w:asciiTheme="minorHAnsi" w:hAnsiTheme="minorHAnsi" w:cs="Arial"/>
          <w:b/>
          <w:bCs/>
          <w:color w:val="auto"/>
          <w:sz w:val="23"/>
          <w:szCs w:val="23"/>
        </w:rPr>
        <w:t xml:space="preserve"> </w:t>
      </w:r>
    </w:p>
    <w:p w14:paraId="09099265" w14:textId="77777777" w:rsidR="00656F49" w:rsidRPr="00656F49" w:rsidRDefault="00656F49" w:rsidP="00656F49">
      <w:pPr>
        <w:pStyle w:val="Default"/>
        <w:spacing w:before="120" w:after="120"/>
        <w:jc w:val="both"/>
        <w:rPr>
          <w:rFonts w:asciiTheme="minorHAnsi" w:hAnsiTheme="minorHAnsi" w:cs="Arial"/>
          <w:color w:val="auto"/>
          <w:sz w:val="20"/>
          <w:szCs w:val="20"/>
        </w:rPr>
      </w:pPr>
      <w:r w:rsidRPr="00656F49">
        <w:rPr>
          <w:rFonts w:asciiTheme="minorHAnsi" w:hAnsiTheme="minorHAnsi" w:cs="Arial"/>
          <w:b/>
          <w:bCs/>
          <w:color w:val="auto"/>
          <w:sz w:val="20"/>
          <w:szCs w:val="20"/>
        </w:rPr>
        <w:t xml:space="preserve">1. Rappel des textes applicables </w:t>
      </w:r>
    </w:p>
    <w:p w14:paraId="2F528B80" w14:textId="22995EF0" w:rsidR="00656F49" w:rsidRDefault="00656F49" w:rsidP="00873B76">
      <w:pPr>
        <w:pStyle w:val="Default"/>
        <w:spacing w:before="120" w:after="120"/>
        <w:jc w:val="both"/>
        <w:rPr>
          <w:rFonts w:asciiTheme="minorHAnsi" w:hAnsiTheme="minorHAnsi" w:cs="Arial"/>
          <w:color w:val="auto"/>
          <w:sz w:val="20"/>
          <w:szCs w:val="20"/>
        </w:rPr>
      </w:pPr>
      <w:r>
        <w:rPr>
          <w:rFonts w:asciiTheme="minorHAnsi" w:hAnsiTheme="minorHAnsi" w:cs="Arial"/>
          <w:color w:val="auto"/>
          <w:sz w:val="20"/>
          <w:szCs w:val="20"/>
        </w:rPr>
        <w:t>L</w:t>
      </w:r>
      <w:r w:rsidRPr="00656F49">
        <w:rPr>
          <w:rFonts w:asciiTheme="minorHAnsi" w:hAnsiTheme="minorHAnsi" w:cs="Arial"/>
          <w:color w:val="auto"/>
          <w:sz w:val="20"/>
          <w:szCs w:val="20"/>
        </w:rPr>
        <w:t xml:space="preserve">’AEFE met en place </w:t>
      </w:r>
      <w:r w:rsidR="003E3E30">
        <w:rPr>
          <w:rFonts w:asciiTheme="minorHAnsi" w:hAnsiTheme="minorHAnsi" w:cs="Arial"/>
          <w:color w:val="auto"/>
          <w:sz w:val="20"/>
          <w:szCs w:val="20"/>
        </w:rPr>
        <w:t>d</w:t>
      </w:r>
      <w:r w:rsidRPr="00656F49">
        <w:rPr>
          <w:rFonts w:asciiTheme="minorHAnsi" w:hAnsiTheme="minorHAnsi" w:cs="Arial"/>
          <w:color w:val="auto"/>
          <w:sz w:val="20"/>
          <w:szCs w:val="20"/>
        </w:rPr>
        <w:t>es mesures antifraude</w:t>
      </w:r>
      <w:r w:rsidR="003E3E30">
        <w:rPr>
          <w:rFonts w:asciiTheme="minorHAnsi" w:hAnsiTheme="minorHAnsi" w:cs="Arial"/>
          <w:color w:val="auto"/>
          <w:sz w:val="20"/>
          <w:szCs w:val="20"/>
        </w:rPr>
        <w:t>s</w:t>
      </w:r>
      <w:r w:rsidRPr="00656F49">
        <w:rPr>
          <w:rFonts w:asciiTheme="minorHAnsi" w:hAnsiTheme="minorHAnsi" w:cs="Arial"/>
          <w:color w:val="auto"/>
          <w:sz w:val="20"/>
          <w:szCs w:val="20"/>
        </w:rPr>
        <w:t xml:space="preserve"> efficaces et proportionnées tenant compte des risques recensés et prend les mesures nécessaires pour prévenir, détecter et sanctionner la fraude et les irrégularités dans l’octroi des bourses Excellence-Major. </w:t>
      </w:r>
    </w:p>
    <w:p w14:paraId="0CBE6985" w14:textId="0E6D8DE7" w:rsidR="00656F49" w:rsidRPr="003E3E30" w:rsidRDefault="00656F49" w:rsidP="00873B76">
      <w:pPr>
        <w:pStyle w:val="Default"/>
        <w:spacing w:before="120" w:after="120"/>
        <w:jc w:val="both"/>
        <w:rPr>
          <w:rFonts w:asciiTheme="minorHAnsi" w:hAnsiTheme="minorHAnsi" w:cs="Arial"/>
          <w:color w:val="auto"/>
          <w:sz w:val="18"/>
          <w:szCs w:val="18"/>
        </w:rPr>
      </w:pPr>
      <w:r w:rsidRPr="00656F49">
        <w:rPr>
          <w:rFonts w:asciiTheme="minorHAnsi" w:hAnsiTheme="minorHAnsi" w:cs="Arial"/>
          <w:color w:val="auto"/>
          <w:sz w:val="20"/>
          <w:szCs w:val="20"/>
        </w:rPr>
        <w:t xml:space="preserve">L’article 432-12 du code pénal modifié par l’article 6 de la loi n°2013-1117 du 6 décembre 2013 </w:t>
      </w:r>
      <w:r w:rsidR="003E3E30">
        <w:rPr>
          <w:rFonts w:asciiTheme="minorHAnsi" w:hAnsiTheme="minorHAnsi" w:cs="Arial"/>
          <w:color w:val="auto"/>
          <w:sz w:val="20"/>
          <w:szCs w:val="20"/>
        </w:rPr>
        <w:t>dispose </w:t>
      </w:r>
      <w:r w:rsidRPr="00656F49">
        <w:rPr>
          <w:rFonts w:asciiTheme="minorHAnsi" w:hAnsiTheme="minorHAnsi" w:cs="Arial"/>
          <w:color w:val="auto"/>
          <w:sz w:val="20"/>
          <w:szCs w:val="20"/>
        </w:rPr>
        <w:t>:</w:t>
      </w:r>
      <w:r w:rsidR="003E3E30">
        <w:rPr>
          <w:rFonts w:asciiTheme="minorHAnsi" w:hAnsiTheme="minorHAnsi" w:cs="Arial"/>
          <w:color w:val="auto"/>
          <w:sz w:val="20"/>
          <w:szCs w:val="20"/>
        </w:rPr>
        <w:t xml:space="preserve"> </w:t>
      </w:r>
      <w:r w:rsidRPr="003E3E30">
        <w:rPr>
          <w:rFonts w:asciiTheme="minorHAnsi" w:hAnsiTheme="minorHAnsi" w:cs="Arial"/>
          <w:i/>
          <w:iCs/>
          <w:color w:val="auto"/>
          <w:sz w:val="20"/>
          <w:szCs w:val="20"/>
        </w:rPr>
        <w:t>«</w:t>
      </w:r>
      <w:r w:rsidR="003E3E30" w:rsidRPr="003E3E30">
        <w:rPr>
          <w:rFonts w:asciiTheme="minorHAnsi" w:hAnsiTheme="minorHAnsi" w:cs="Arial"/>
          <w:i/>
          <w:iCs/>
          <w:color w:val="auto"/>
          <w:sz w:val="20"/>
          <w:szCs w:val="20"/>
        </w:rPr>
        <w:t> </w:t>
      </w:r>
      <w:r w:rsidRPr="003E3E30">
        <w:rPr>
          <w:rFonts w:asciiTheme="minorHAnsi" w:hAnsiTheme="minorHAnsi" w:cs="Arial"/>
          <w:i/>
          <w:iCs/>
          <w:color w:val="auto"/>
          <w:sz w:val="20"/>
          <w:szCs w:val="20"/>
        </w:rPr>
        <w:t>Le fait, par une personne dépositaire de l'autorité publique ou chargée d'une mission de service public ou par une personne investie d'un mandat électif publ</w:t>
      </w:r>
      <w:r w:rsidR="003E3E30">
        <w:rPr>
          <w:rFonts w:asciiTheme="minorHAnsi" w:hAnsiTheme="minorHAnsi" w:cs="Arial"/>
          <w:i/>
          <w:iCs/>
          <w:color w:val="auto"/>
          <w:sz w:val="20"/>
          <w:szCs w:val="20"/>
        </w:rPr>
        <w:t xml:space="preserve">ic, </w:t>
      </w:r>
      <w:r w:rsidRPr="003E3E30">
        <w:rPr>
          <w:rFonts w:asciiTheme="minorHAnsi" w:hAnsiTheme="minorHAnsi" w:cs="Arial"/>
          <w:i/>
          <w:iCs/>
          <w:color w:val="auto"/>
          <w:sz w:val="20"/>
          <w:szCs w:val="20"/>
        </w:rPr>
        <w:t>de prendre, recevoir ou conserver, directement ou indirectement, un intérêt quelconque dans une entreprise ou</w:t>
      </w:r>
      <w:r w:rsidR="00D5427A">
        <w:rPr>
          <w:rFonts w:asciiTheme="minorHAnsi" w:hAnsiTheme="minorHAnsi" w:cs="Arial"/>
          <w:i/>
          <w:iCs/>
          <w:color w:val="auto"/>
          <w:sz w:val="20"/>
          <w:szCs w:val="20"/>
        </w:rPr>
        <w:t xml:space="preserve"> dans une opération dont elle a,</w:t>
      </w:r>
      <w:r w:rsidRPr="003E3E30">
        <w:rPr>
          <w:rFonts w:asciiTheme="minorHAnsi" w:hAnsiTheme="minorHAnsi" w:cs="Arial"/>
          <w:i/>
          <w:iCs/>
          <w:color w:val="auto"/>
          <w:sz w:val="20"/>
          <w:szCs w:val="20"/>
        </w:rPr>
        <w:t xml:space="preserve"> au moment de l'acte, en tout ou partie, la charge d'assurer la surveillance, l'administration, la liquidation ou le paiement, est puni de cinq ans d'emprisonnement et d'une amende de 500 000 €, dont le montant peut être porté au double du produit tiré de l'infraction.</w:t>
      </w:r>
      <w:r w:rsidR="003E3E30" w:rsidRPr="003E3E30">
        <w:rPr>
          <w:rFonts w:asciiTheme="minorHAnsi" w:hAnsiTheme="minorHAnsi" w:cs="Arial"/>
          <w:i/>
          <w:iCs/>
          <w:color w:val="auto"/>
          <w:sz w:val="20"/>
          <w:szCs w:val="20"/>
        </w:rPr>
        <w:t> »</w:t>
      </w:r>
      <w:r w:rsidRPr="003E3E30">
        <w:rPr>
          <w:rFonts w:asciiTheme="minorHAnsi" w:hAnsiTheme="minorHAnsi" w:cs="Arial"/>
          <w:color w:val="auto"/>
          <w:sz w:val="18"/>
          <w:szCs w:val="18"/>
        </w:rPr>
        <w:t xml:space="preserve"> </w:t>
      </w:r>
    </w:p>
    <w:p w14:paraId="7FE2D9BF" w14:textId="438EC9B2" w:rsidR="00656F49" w:rsidRPr="00656F49" w:rsidRDefault="00656F49" w:rsidP="00656F49">
      <w:pPr>
        <w:pStyle w:val="Default"/>
        <w:spacing w:before="120" w:after="120"/>
        <w:jc w:val="both"/>
        <w:rPr>
          <w:rFonts w:asciiTheme="minorHAnsi" w:hAnsiTheme="minorHAnsi" w:cs="Arial"/>
          <w:color w:val="auto"/>
          <w:sz w:val="20"/>
          <w:szCs w:val="20"/>
        </w:rPr>
      </w:pPr>
      <w:r w:rsidRPr="00656F49">
        <w:rPr>
          <w:rFonts w:asciiTheme="minorHAnsi" w:hAnsiTheme="minorHAnsi" w:cs="Arial"/>
          <w:b/>
          <w:bCs/>
          <w:color w:val="auto"/>
          <w:sz w:val="20"/>
          <w:szCs w:val="20"/>
        </w:rPr>
        <w:t>2. Définition de la situation de conflit d’intérêt</w:t>
      </w:r>
      <w:r w:rsidR="003E3E30">
        <w:rPr>
          <w:rFonts w:asciiTheme="minorHAnsi" w:hAnsiTheme="minorHAnsi" w:cs="Arial"/>
          <w:b/>
          <w:bCs/>
          <w:color w:val="auto"/>
          <w:sz w:val="20"/>
          <w:szCs w:val="20"/>
        </w:rPr>
        <w:t>s</w:t>
      </w:r>
      <w:r w:rsidRPr="00656F49">
        <w:rPr>
          <w:rFonts w:asciiTheme="minorHAnsi" w:hAnsiTheme="minorHAnsi" w:cs="Arial"/>
          <w:b/>
          <w:bCs/>
          <w:color w:val="auto"/>
          <w:sz w:val="20"/>
          <w:szCs w:val="20"/>
        </w:rPr>
        <w:t xml:space="preserve"> </w:t>
      </w:r>
    </w:p>
    <w:p w14:paraId="6FB227AC" w14:textId="45255085" w:rsidR="00656F49" w:rsidRPr="00656F49" w:rsidRDefault="00656F49" w:rsidP="00656F49">
      <w:pPr>
        <w:pStyle w:val="Default"/>
        <w:jc w:val="both"/>
        <w:rPr>
          <w:rFonts w:asciiTheme="minorHAnsi" w:hAnsiTheme="minorHAnsi" w:cs="Arial"/>
          <w:color w:val="auto"/>
          <w:sz w:val="20"/>
          <w:szCs w:val="20"/>
        </w:rPr>
      </w:pPr>
      <w:r w:rsidRPr="00656F49">
        <w:rPr>
          <w:rFonts w:asciiTheme="minorHAnsi" w:hAnsiTheme="minorHAnsi" w:cs="Arial"/>
          <w:color w:val="auto"/>
          <w:sz w:val="20"/>
          <w:szCs w:val="20"/>
        </w:rPr>
        <w:t>La situation de conflit d’intérêt</w:t>
      </w:r>
      <w:r w:rsidR="003E3E30">
        <w:rPr>
          <w:rFonts w:asciiTheme="minorHAnsi" w:hAnsiTheme="minorHAnsi" w:cs="Arial"/>
          <w:color w:val="auto"/>
          <w:sz w:val="20"/>
          <w:szCs w:val="20"/>
        </w:rPr>
        <w:t>s</w:t>
      </w:r>
      <w:r w:rsidRPr="00656F49">
        <w:rPr>
          <w:rFonts w:asciiTheme="minorHAnsi" w:hAnsiTheme="minorHAnsi" w:cs="Arial"/>
          <w:color w:val="auto"/>
          <w:sz w:val="20"/>
          <w:szCs w:val="20"/>
        </w:rPr>
        <w:t xml:space="preserve"> peut être définie de la manière suivante</w:t>
      </w:r>
      <w:r w:rsidR="003E3E30">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20A8D8BD" w14:textId="1121369A" w:rsidR="00656F49" w:rsidRDefault="00656F49" w:rsidP="00656F49">
      <w:pPr>
        <w:pStyle w:val="Default"/>
        <w:jc w:val="both"/>
        <w:rPr>
          <w:rFonts w:asciiTheme="minorHAnsi" w:hAnsiTheme="minorHAnsi" w:cs="Arial"/>
          <w:color w:val="auto"/>
          <w:sz w:val="20"/>
          <w:szCs w:val="20"/>
        </w:rPr>
      </w:pPr>
      <w:r w:rsidRPr="00656F49">
        <w:rPr>
          <w:rFonts w:asciiTheme="minorHAnsi" w:hAnsiTheme="minorHAnsi" w:cs="Arial"/>
          <w:color w:val="auto"/>
          <w:sz w:val="20"/>
          <w:szCs w:val="20"/>
        </w:rPr>
        <w:t>«</w:t>
      </w:r>
      <w:r w:rsidR="003E3E30">
        <w:rPr>
          <w:rFonts w:asciiTheme="minorHAnsi" w:hAnsiTheme="minorHAnsi" w:cs="Arial"/>
          <w:color w:val="auto"/>
          <w:sz w:val="20"/>
          <w:szCs w:val="20"/>
        </w:rPr>
        <w:t> </w:t>
      </w:r>
      <w:r w:rsidRPr="00656F49">
        <w:rPr>
          <w:rFonts w:asciiTheme="minorHAnsi" w:hAnsiTheme="minorHAnsi" w:cs="Arial"/>
          <w:i/>
          <w:iCs/>
          <w:color w:val="auto"/>
          <w:sz w:val="20"/>
          <w:szCs w:val="20"/>
        </w:rPr>
        <w:t>Est en situation de conflit d’intérêts tout agent qui prendrait, recevrait ou détiendrait, directement ou indirectement, un intérêt quelconque en relation avec les fonctions qu’il exerce (surveillance, gestion, instruction d’un dossier, contrôle, etc.) avec un prestataire, un fournisseur de biens ou services, une organisation professionnelle, une association</w:t>
      </w:r>
      <w:r w:rsidR="003E3E30">
        <w:rPr>
          <w:rFonts w:asciiTheme="minorHAnsi" w:hAnsiTheme="minorHAnsi" w:cs="Arial"/>
          <w:color w:val="auto"/>
          <w:sz w:val="20"/>
          <w:szCs w:val="20"/>
        </w:rPr>
        <w:t>. S</w:t>
      </w:r>
      <w:r w:rsidRPr="00656F49">
        <w:rPr>
          <w:rFonts w:asciiTheme="minorHAnsi" w:hAnsiTheme="minorHAnsi" w:cs="Arial"/>
          <w:color w:val="auto"/>
          <w:sz w:val="20"/>
          <w:szCs w:val="20"/>
        </w:rPr>
        <w:t xml:space="preserve">» </w:t>
      </w:r>
    </w:p>
    <w:p w14:paraId="088F89D4" w14:textId="77777777" w:rsidR="00656F49" w:rsidRDefault="00656F49" w:rsidP="00873B76">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Un conflit d'intérêts implique un conflit entre la mission d’intérêt général et les intérêts privés d'un agent public ou chargé d’une mission de service public. </w:t>
      </w:r>
    </w:p>
    <w:p w14:paraId="05A74237" w14:textId="28949D88" w:rsidR="00656F49" w:rsidRPr="003E3E30" w:rsidRDefault="00656F49" w:rsidP="003E3E30">
      <w:pPr>
        <w:pStyle w:val="Default"/>
        <w:spacing w:before="240" w:after="240"/>
        <w:jc w:val="both"/>
        <w:rPr>
          <w:rFonts w:asciiTheme="minorHAnsi" w:hAnsiTheme="minorHAnsi" w:cs="Arial"/>
          <w:b/>
          <w:bCs/>
          <w:color w:val="auto"/>
          <w:sz w:val="23"/>
          <w:szCs w:val="23"/>
        </w:rPr>
      </w:pPr>
      <w:r w:rsidRPr="00656F49">
        <w:rPr>
          <w:rFonts w:asciiTheme="minorHAnsi" w:hAnsiTheme="minorHAnsi" w:cs="Arial"/>
          <w:b/>
          <w:bCs/>
          <w:color w:val="auto"/>
          <w:sz w:val="23"/>
          <w:szCs w:val="23"/>
        </w:rPr>
        <w:t xml:space="preserve">II - PRINCIPES DE CONDUITE </w:t>
      </w:r>
      <w:r>
        <w:rPr>
          <w:rFonts w:asciiTheme="minorHAnsi" w:hAnsiTheme="minorHAnsi" w:cs="Arial"/>
          <w:b/>
          <w:bCs/>
          <w:color w:val="auto"/>
          <w:sz w:val="23"/>
          <w:szCs w:val="23"/>
        </w:rPr>
        <w:t>À</w:t>
      </w:r>
      <w:r w:rsidRPr="00656F49">
        <w:rPr>
          <w:rFonts w:asciiTheme="minorHAnsi" w:hAnsiTheme="minorHAnsi" w:cs="Arial"/>
          <w:b/>
          <w:bCs/>
          <w:color w:val="auto"/>
          <w:sz w:val="23"/>
          <w:szCs w:val="23"/>
        </w:rPr>
        <w:t xml:space="preserve"> RESPECTER POUR LA GESTION DU PR</w:t>
      </w:r>
      <w:r>
        <w:rPr>
          <w:rFonts w:asciiTheme="minorHAnsi" w:hAnsiTheme="minorHAnsi" w:cs="Arial"/>
          <w:b/>
          <w:bCs/>
          <w:color w:val="auto"/>
          <w:sz w:val="23"/>
          <w:szCs w:val="23"/>
        </w:rPr>
        <w:t>O</w:t>
      </w:r>
      <w:r w:rsidRPr="00656F49">
        <w:rPr>
          <w:rFonts w:asciiTheme="minorHAnsi" w:hAnsiTheme="minorHAnsi" w:cs="Arial"/>
          <w:b/>
          <w:bCs/>
          <w:color w:val="auto"/>
          <w:sz w:val="23"/>
          <w:szCs w:val="23"/>
        </w:rPr>
        <w:t>GRAMME DES BOURSES EXCE</w:t>
      </w:r>
      <w:r>
        <w:rPr>
          <w:rFonts w:asciiTheme="minorHAnsi" w:hAnsiTheme="minorHAnsi" w:cs="Arial"/>
          <w:b/>
          <w:bCs/>
          <w:color w:val="auto"/>
          <w:sz w:val="23"/>
          <w:szCs w:val="23"/>
        </w:rPr>
        <w:t>L</w:t>
      </w:r>
      <w:r w:rsidRPr="00656F49">
        <w:rPr>
          <w:rFonts w:asciiTheme="minorHAnsi" w:hAnsiTheme="minorHAnsi" w:cs="Arial"/>
          <w:b/>
          <w:bCs/>
          <w:color w:val="auto"/>
          <w:sz w:val="23"/>
          <w:szCs w:val="23"/>
        </w:rPr>
        <w:t xml:space="preserve">LENCE-MAJOR </w:t>
      </w:r>
    </w:p>
    <w:p w14:paraId="7CA3F44B" w14:textId="77777777" w:rsidR="00656F49" w:rsidRDefault="00656F49" w:rsidP="00873B76">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Les agents publics ou en charge d’une mission de service public bénéficient de droits fondamentaux et sont soumis en contrepartie à des obligations, lesquels sont précisés dans la loi n° 83-634 du 13 juillet 1983 portant droits et obligations des fonctionnaires. </w:t>
      </w:r>
    </w:p>
    <w:p w14:paraId="38DFE9EB" w14:textId="0EC5E4D6" w:rsidR="00656F49" w:rsidRDefault="00D7232C" w:rsidP="00873B76">
      <w:pPr>
        <w:pStyle w:val="Default"/>
        <w:spacing w:before="120" w:after="120"/>
        <w:jc w:val="both"/>
        <w:rPr>
          <w:rFonts w:asciiTheme="minorHAnsi" w:hAnsiTheme="minorHAnsi" w:cs="Arial"/>
          <w:color w:val="auto"/>
          <w:sz w:val="20"/>
          <w:szCs w:val="20"/>
        </w:rPr>
      </w:pPr>
      <w:r>
        <w:rPr>
          <w:rFonts w:asciiTheme="minorHAnsi" w:hAnsiTheme="minorHAnsi" w:cs="Arial"/>
          <w:color w:val="auto"/>
          <w:sz w:val="20"/>
          <w:szCs w:val="20"/>
        </w:rPr>
        <w:t>D</w:t>
      </w:r>
      <w:r w:rsidR="00656F49" w:rsidRPr="00656F49">
        <w:rPr>
          <w:rFonts w:asciiTheme="minorHAnsi" w:hAnsiTheme="minorHAnsi" w:cs="Arial"/>
          <w:color w:val="auto"/>
          <w:sz w:val="20"/>
          <w:szCs w:val="20"/>
        </w:rPr>
        <w:t xml:space="preserve">ans l’exercice de ses fonctions, l’agent en charge du programme au sein de l’AEFE s’engage à mettre en </w:t>
      </w:r>
      <w:r w:rsidR="00656F49">
        <w:rPr>
          <w:rFonts w:asciiTheme="minorHAnsi" w:hAnsiTheme="minorHAnsi" w:cs="Arial"/>
          <w:color w:val="auto"/>
          <w:sz w:val="20"/>
          <w:szCs w:val="20"/>
        </w:rPr>
        <w:t>œ</w:t>
      </w:r>
      <w:r w:rsidR="00656F49" w:rsidRPr="00656F49">
        <w:rPr>
          <w:rFonts w:asciiTheme="minorHAnsi" w:hAnsiTheme="minorHAnsi" w:cs="Arial"/>
          <w:color w:val="auto"/>
          <w:sz w:val="20"/>
          <w:szCs w:val="20"/>
        </w:rPr>
        <w:t xml:space="preserve">uvre les principes de probité, d’intégrité et de désintéressement. Il fait preuve d’impartialité afin d’assurer le respect du principe d’égalité de traitement et de transparence dans l’attribution des bourses Excellence-Major dont il a la responsabilité. </w:t>
      </w:r>
    </w:p>
    <w:p w14:paraId="011D9BD7" w14:textId="7901C69D" w:rsidR="00656F49" w:rsidRDefault="00656F49" w:rsidP="00873B76">
      <w:pPr>
        <w:pStyle w:val="Default"/>
        <w:spacing w:before="120" w:after="120"/>
        <w:jc w:val="both"/>
        <w:rPr>
          <w:rFonts w:asciiTheme="minorHAnsi" w:hAnsiTheme="minorHAnsi" w:cs="Arial"/>
          <w:color w:val="auto"/>
          <w:sz w:val="20"/>
          <w:szCs w:val="20"/>
        </w:rPr>
      </w:pPr>
      <w:proofErr w:type="spellStart"/>
      <w:proofErr w:type="gramStart"/>
      <w:r w:rsidRPr="00656F49">
        <w:rPr>
          <w:rFonts w:asciiTheme="minorHAnsi" w:hAnsiTheme="minorHAnsi" w:cs="Arial"/>
          <w:color w:val="auto"/>
          <w:sz w:val="20"/>
          <w:szCs w:val="20"/>
        </w:rPr>
        <w:t>ll</w:t>
      </w:r>
      <w:proofErr w:type="spellEnd"/>
      <w:proofErr w:type="gramEnd"/>
      <w:r w:rsidRPr="00656F49">
        <w:rPr>
          <w:rFonts w:asciiTheme="minorHAnsi" w:hAnsiTheme="minorHAnsi" w:cs="Arial"/>
          <w:color w:val="auto"/>
          <w:sz w:val="20"/>
          <w:szCs w:val="20"/>
        </w:rPr>
        <w:t xml:space="preserve"> s’engage à prévenir et à détecter les cas de fraude et les signaler à sa hiérarchie. Il veille à respecter la confidentialité des informations personnelles ou administratives</w:t>
      </w:r>
      <w:r w:rsidR="00D7232C">
        <w:rPr>
          <w:rFonts w:asciiTheme="minorHAnsi" w:hAnsiTheme="minorHAnsi" w:cs="Arial"/>
          <w:color w:val="auto"/>
          <w:sz w:val="20"/>
          <w:szCs w:val="20"/>
        </w:rPr>
        <w:t xml:space="preserve"> dont il dispose dans ce cadre. </w:t>
      </w:r>
    </w:p>
    <w:p w14:paraId="0526E1C4" w14:textId="1C34E65C" w:rsidR="00656F49" w:rsidRPr="00656F49" w:rsidRDefault="00656F49" w:rsidP="00873B76">
      <w:pPr>
        <w:pStyle w:val="Default"/>
        <w:pageBreakBefore/>
        <w:spacing w:before="120" w:after="240"/>
        <w:jc w:val="center"/>
        <w:rPr>
          <w:rFonts w:asciiTheme="minorHAnsi" w:hAnsiTheme="minorHAnsi"/>
          <w:color w:val="auto"/>
          <w:sz w:val="23"/>
          <w:szCs w:val="23"/>
        </w:rPr>
      </w:pPr>
      <w:r w:rsidRPr="00656F49">
        <w:rPr>
          <w:rFonts w:asciiTheme="minorHAnsi" w:hAnsiTheme="minorHAnsi" w:cs="Arial"/>
          <w:b/>
          <w:bCs/>
          <w:color w:val="auto"/>
          <w:sz w:val="23"/>
          <w:szCs w:val="23"/>
        </w:rPr>
        <w:lastRenderedPageBreak/>
        <w:t>D</w:t>
      </w:r>
      <w:r>
        <w:rPr>
          <w:rFonts w:asciiTheme="minorHAnsi" w:hAnsiTheme="minorHAnsi" w:cs="Arial"/>
          <w:b/>
          <w:bCs/>
          <w:color w:val="auto"/>
          <w:sz w:val="23"/>
          <w:szCs w:val="23"/>
        </w:rPr>
        <w:t>É</w:t>
      </w:r>
      <w:r w:rsidRPr="00656F49">
        <w:rPr>
          <w:rFonts w:asciiTheme="minorHAnsi" w:hAnsiTheme="minorHAnsi" w:cs="Arial"/>
          <w:b/>
          <w:bCs/>
          <w:color w:val="auto"/>
          <w:sz w:val="23"/>
          <w:szCs w:val="23"/>
        </w:rPr>
        <w:t>CLARATION D’ABSENCE DE CONFLIT D’INT</w:t>
      </w:r>
      <w:r>
        <w:rPr>
          <w:rFonts w:asciiTheme="minorHAnsi" w:hAnsiTheme="minorHAnsi" w:cs="Arial"/>
          <w:b/>
          <w:bCs/>
          <w:color w:val="auto"/>
          <w:sz w:val="23"/>
          <w:szCs w:val="23"/>
        </w:rPr>
        <w:t>É</w:t>
      </w:r>
      <w:r w:rsidRPr="00656F49">
        <w:rPr>
          <w:rFonts w:asciiTheme="minorHAnsi" w:hAnsiTheme="minorHAnsi" w:cs="Arial"/>
          <w:b/>
          <w:bCs/>
          <w:color w:val="auto"/>
          <w:sz w:val="23"/>
          <w:szCs w:val="23"/>
        </w:rPr>
        <w:t>R</w:t>
      </w:r>
      <w:r>
        <w:rPr>
          <w:rFonts w:asciiTheme="minorHAnsi" w:hAnsiTheme="minorHAnsi" w:cs="Arial"/>
          <w:b/>
          <w:bCs/>
          <w:color w:val="auto"/>
          <w:sz w:val="23"/>
          <w:szCs w:val="23"/>
        </w:rPr>
        <w:t>Ê</w:t>
      </w:r>
      <w:r w:rsidRPr="00656F49">
        <w:rPr>
          <w:rFonts w:asciiTheme="minorHAnsi" w:hAnsiTheme="minorHAnsi" w:cs="Arial"/>
          <w:b/>
          <w:bCs/>
          <w:color w:val="auto"/>
          <w:sz w:val="23"/>
          <w:szCs w:val="23"/>
        </w:rPr>
        <w:t>T</w:t>
      </w:r>
      <w:r w:rsidR="00873B76">
        <w:rPr>
          <w:rFonts w:asciiTheme="minorHAnsi" w:hAnsiTheme="minorHAnsi" w:cs="Arial"/>
          <w:b/>
          <w:bCs/>
          <w:color w:val="auto"/>
          <w:sz w:val="23"/>
          <w:szCs w:val="23"/>
        </w:rPr>
        <w:t>S</w:t>
      </w:r>
    </w:p>
    <w:p w14:paraId="3FAFBEBF" w14:textId="135A25F8" w:rsidR="00656F49" w:rsidRPr="00656F49" w:rsidRDefault="00656F49" w:rsidP="00656F49">
      <w:pPr>
        <w:pStyle w:val="Default"/>
        <w:jc w:val="both"/>
        <w:rPr>
          <w:rFonts w:asciiTheme="minorHAnsi" w:hAnsiTheme="minorHAnsi" w:cs="Arial"/>
          <w:i/>
          <w:color w:val="auto"/>
          <w:sz w:val="18"/>
          <w:szCs w:val="18"/>
        </w:rPr>
      </w:pPr>
      <w:r w:rsidRPr="00656F49">
        <w:rPr>
          <w:rFonts w:asciiTheme="minorHAnsi" w:hAnsiTheme="minorHAnsi" w:cs="Arial"/>
          <w:i/>
          <w:color w:val="auto"/>
          <w:sz w:val="18"/>
          <w:szCs w:val="18"/>
        </w:rPr>
        <w:t xml:space="preserve">(À faire remplir par chacun des acteurs en charge de l’instruction ou de l’évaluation d’un dossier de candidature à la bourse Excellence-Major.) </w:t>
      </w:r>
    </w:p>
    <w:p w14:paraId="5435751C" w14:textId="2867B3CD" w:rsidR="00656F49" w:rsidRPr="00656F49" w:rsidRDefault="00656F49" w:rsidP="005405EC">
      <w:pPr>
        <w:pStyle w:val="Default"/>
        <w:spacing w:before="120" w:after="120" w:line="360" w:lineRule="auto"/>
        <w:rPr>
          <w:rFonts w:asciiTheme="minorHAnsi" w:hAnsiTheme="minorHAnsi" w:cs="Arial"/>
          <w:color w:val="auto"/>
          <w:sz w:val="20"/>
          <w:szCs w:val="20"/>
        </w:rPr>
      </w:pPr>
      <w:r w:rsidRPr="00656F49">
        <w:rPr>
          <w:rFonts w:asciiTheme="minorHAnsi" w:hAnsiTheme="minorHAnsi" w:cs="Arial"/>
          <w:color w:val="auto"/>
          <w:sz w:val="20"/>
          <w:szCs w:val="20"/>
        </w:rPr>
        <w:t>Je soussigné(e) :</w:t>
      </w:r>
      <w:r w:rsidR="00EB0DA4">
        <w:rPr>
          <w:rFonts w:asciiTheme="minorHAnsi" w:hAnsiTheme="minorHAnsi" w:cs="Arial"/>
          <w:color w:val="auto"/>
          <w:sz w:val="20"/>
          <w:szCs w:val="20"/>
        </w:rPr>
        <w:t xml:space="preserve"> </w:t>
      </w:r>
      <w:r w:rsidRPr="00656F49">
        <w:rPr>
          <w:rFonts w:asciiTheme="minorHAnsi" w:hAnsiTheme="minorHAnsi" w:cs="Arial"/>
          <w:color w:val="auto"/>
          <w:sz w:val="20"/>
          <w:szCs w:val="20"/>
        </w:rPr>
        <w:t>……………………………………………………………………………………………</w:t>
      </w:r>
      <w:r w:rsidR="005405EC" w:rsidRPr="00656F49">
        <w:rPr>
          <w:rFonts w:asciiTheme="minorHAnsi" w:hAnsiTheme="minorHAnsi" w:cs="Arial"/>
          <w:color w:val="auto"/>
          <w:sz w:val="20"/>
          <w:szCs w:val="20"/>
        </w:rPr>
        <w:t>…………………………………………………………</w:t>
      </w:r>
      <w:r w:rsidRPr="00656F49">
        <w:rPr>
          <w:rFonts w:asciiTheme="minorHAnsi" w:hAnsiTheme="minorHAnsi" w:cs="Arial"/>
          <w:color w:val="auto"/>
          <w:sz w:val="20"/>
          <w:szCs w:val="20"/>
        </w:rPr>
        <w:t xml:space="preserve"> </w:t>
      </w:r>
    </w:p>
    <w:p w14:paraId="21DA9734" w14:textId="4706DEEE" w:rsidR="00656F49" w:rsidRPr="00656F49" w:rsidRDefault="005405EC" w:rsidP="005405EC">
      <w:pPr>
        <w:pStyle w:val="Default"/>
        <w:spacing w:before="120" w:after="120" w:line="360" w:lineRule="auto"/>
        <w:rPr>
          <w:rFonts w:asciiTheme="minorHAnsi" w:hAnsiTheme="minorHAnsi" w:cs="Arial"/>
          <w:color w:val="auto"/>
          <w:sz w:val="20"/>
          <w:szCs w:val="20"/>
        </w:rPr>
      </w:pPr>
      <w:r>
        <w:rPr>
          <w:rFonts w:asciiTheme="minorHAnsi" w:hAnsiTheme="minorHAnsi" w:cs="Arial"/>
          <w:color w:val="auto"/>
          <w:sz w:val="20"/>
          <w:szCs w:val="20"/>
        </w:rPr>
        <w:t xml:space="preserve">Fonction : </w:t>
      </w:r>
      <w:r w:rsidRPr="00656F49">
        <w:rPr>
          <w:rFonts w:asciiTheme="minorHAnsi" w:hAnsiTheme="minorHAnsi" w:cs="Arial"/>
          <w:color w:val="auto"/>
          <w:sz w:val="20"/>
          <w:szCs w:val="20"/>
        </w:rPr>
        <w:t>…………………………………………………………………………………………………………………………………………………………………</w:t>
      </w:r>
    </w:p>
    <w:p w14:paraId="59E76C2C" w14:textId="0BA247C3" w:rsidR="00656F49" w:rsidRPr="00656F49" w:rsidRDefault="005405EC" w:rsidP="005405EC">
      <w:pPr>
        <w:pStyle w:val="Default"/>
        <w:spacing w:before="120" w:after="120" w:line="360" w:lineRule="auto"/>
        <w:rPr>
          <w:rFonts w:asciiTheme="minorHAnsi" w:hAnsiTheme="minorHAnsi" w:cs="Arial"/>
          <w:color w:val="auto"/>
          <w:sz w:val="20"/>
          <w:szCs w:val="20"/>
        </w:rPr>
      </w:pPr>
      <w:r>
        <w:rPr>
          <w:rFonts w:asciiTheme="minorHAnsi" w:hAnsiTheme="minorHAnsi" w:cs="Arial"/>
          <w:color w:val="auto"/>
          <w:sz w:val="20"/>
          <w:szCs w:val="20"/>
        </w:rPr>
        <w:t>Établissement/institution :</w:t>
      </w:r>
      <w:r w:rsidRPr="005405EC">
        <w:rPr>
          <w:rFonts w:asciiTheme="minorHAnsi" w:hAnsiTheme="minorHAnsi" w:cs="Arial"/>
          <w:color w:val="auto"/>
          <w:sz w:val="20"/>
          <w:szCs w:val="20"/>
        </w:rPr>
        <w:t xml:space="preserve"> </w:t>
      </w:r>
      <w:r w:rsidRPr="00656F49">
        <w:rPr>
          <w:rFonts w:asciiTheme="minorHAnsi" w:hAnsiTheme="minorHAnsi" w:cs="Arial"/>
          <w:color w:val="auto"/>
          <w:sz w:val="20"/>
          <w:szCs w:val="20"/>
        </w:rPr>
        <w:t>……………………………………………………………………………………………………………</w:t>
      </w:r>
      <w:r>
        <w:rPr>
          <w:rFonts w:asciiTheme="minorHAnsi" w:hAnsiTheme="minorHAnsi" w:cs="Arial"/>
          <w:color w:val="auto"/>
          <w:sz w:val="20"/>
          <w:szCs w:val="20"/>
        </w:rPr>
        <w:t>………………………</w:t>
      </w:r>
    </w:p>
    <w:p w14:paraId="1E2DBC5D" w14:textId="6C90EFBB" w:rsidR="00656F49" w:rsidRPr="00656F49" w:rsidRDefault="00656F49" w:rsidP="005405EC">
      <w:pPr>
        <w:pStyle w:val="Default"/>
        <w:spacing w:before="120" w:after="120" w:line="360" w:lineRule="auto"/>
        <w:rPr>
          <w:rFonts w:asciiTheme="minorHAnsi" w:hAnsiTheme="minorHAnsi" w:cs="Arial"/>
          <w:color w:val="auto"/>
          <w:sz w:val="20"/>
          <w:szCs w:val="20"/>
        </w:rPr>
      </w:pPr>
      <w:r w:rsidRPr="00656F49">
        <w:rPr>
          <w:rFonts w:asciiTheme="minorHAnsi" w:hAnsiTheme="minorHAnsi" w:cs="Arial"/>
          <w:color w:val="auto"/>
          <w:sz w:val="20"/>
          <w:szCs w:val="20"/>
        </w:rPr>
        <w:t>Ville : …………………………………………………………………………………………………………</w:t>
      </w:r>
      <w:r w:rsidR="005405EC" w:rsidRPr="00656F49">
        <w:rPr>
          <w:rFonts w:asciiTheme="minorHAnsi" w:hAnsiTheme="minorHAnsi" w:cs="Arial"/>
          <w:color w:val="auto"/>
          <w:sz w:val="20"/>
          <w:szCs w:val="20"/>
        </w:rPr>
        <w:t>………………………………………………………………</w:t>
      </w:r>
    </w:p>
    <w:p w14:paraId="5B9FF03C" w14:textId="5AA373D0" w:rsidR="00656F49" w:rsidRDefault="00656F49" w:rsidP="005405EC">
      <w:pPr>
        <w:pStyle w:val="Default"/>
        <w:spacing w:before="120" w:after="120" w:line="360" w:lineRule="auto"/>
        <w:rPr>
          <w:rFonts w:asciiTheme="minorHAnsi" w:hAnsiTheme="minorHAnsi" w:cs="Arial"/>
          <w:color w:val="auto"/>
          <w:sz w:val="20"/>
          <w:szCs w:val="20"/>
        </w:rPr>
      </w:pPr>
      <w:r w:rsidRPr="00656F49">
        <w:rPr>
          <w:rFonts w:asciiTheme="minorHAnsi" w:hAnsiTheme="minorHAnsi" w:cs="Arial"/>
          <w:color w:val="auto"/>
          <w:sz w:val="20"/>
          <w:szCs w:val="20"/>
        </w:rPr>
        <w:t>Pays :</w:t>
      </w:r>
      <w:r w:rsidR="005405EC">
        <w:rPr>
          <w:rFonts w:asciiTheme="minorHAnsi" w:hAnsiTheme="minorHAnsi" w:cs="Arial"/>
          <w:color w:val="auto"/>
          <w:sz w:val="20"/>
          <w:szCs w:val="20"/>
        </w:rPr>
        <w:t xml:space="preserve"> </w:t>
      </w:r>
      <w:r w:rsidR="005405EC" w:rsidRPr="00656F49">
        <w:rPr>
          <w:rFonts w:asciiTheme="minorHAnsi" w:hAnsiTheme="minorHAnsi" w:cs="Arial"/>
          <w:color w:val="auto"/>
          <w:sz w:val="20"/>
          <w:szCs w:val="20"/>
        </w:rPr>
        <w:t>………………………………………………………………………………………………………………………………………………………………………</w:t>
      </w:r>
      <w:r w:rsidR="005405EC">
        <w:rPr>
          <w:rFonts w:asciiTheme="minorHAnsi" w:hAnsiTheme="minorHAnsi" w:cs="Arial"/>
          <w:color w:val="auto"/>
          <w:sz w:val="20"/>
          <w:szCs w:val="20"/>
        </w:rPr>
        <w:t>…</w:t>
      </w:r>
    </w:p>
    <w:p w14:paraId="21D00D55" w14:textId="77777777" w:rsidR="00656F49" w:rsidRDefault="00656F49" w:rsidP="005405EC">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Déclare n’avoir aucun conflit d’intérêt de quelque nature que ce soit dans le cadre de l’instruction d’un dossier de candidature à la bourse Excellence-Major. </w:t>
      </w:r>
    </w:p>
    <w:p w14:paraId="459C400F" w14:textId="78C84172" w:rsidR="00656F49" w:rsidRPr="00656F49" w:rsidRDefault="00656F49" w:rsidP="005405EC">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Je m’engage à ne recourir à aucun acte ou </w:t>
      </w:r>
      <w:r w:rsidR="005405EC" w:rsidRPr="00656F49">
        <w:rPr>
          <w:rFonts w:asciiTheme="minorHAnsi" w:hAnsiTheme="minorHAnsi" w:cs="Arial"/>
          <w:color w:val="auto"/>
          <w:sz w:val="20"/>
          <w:szCs w:val="20"/>
        </w:rPr>
        <w:t>manœuvre</w:t>
      </w:r>
      <w:r w:rsidRPr="00656F49">
        <w:rPr>
          <w:rFonts w:asciiTheme="minorHAnsi" w:hAnsiTheme="minorHAnsi" w:cs="Arial"/>
          <w:color w:val="auto"/>
          <w:sz w:val="20"/>
          <w:szCs w:val="20"/>
        </w:rPr>
        <w:t xml:space="preserve"> visant à faciliter ou privilégier le traitement de l’un des candidats au programme de bourse Excellence Major par rapport à un autre candidat. </w:t>
      </w:r>
    </w:p>
    <w:p w14:paraId="1652528C" w14:textId="3DE9F14C" w:rsidR="00656F49" w:rsidRDefault="00656F49" w:rsidP="005405EC">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Je m'engage à ne pas m'adonner à des actes ou à des </w:t>
      </w:r>
      <w:r w:rsidR="005405EC" w:rsidRPr="00656F49">
        <w:rPr>
          <w:rFonts w:asciiTheme="minorHAnsi" w:hAnsiTheme="minorHAnsi" w:cs="Arial"/>
          <w:color w:val="auto"/>
          <w:sz w:val="20"/>
          <w:szCs w:val="20"/>
        </w:rPr>
        <w:t>manœuvres</w:t>
      </w:r>
      <w:r w:rsidRPr="00656F49">
        <w:rPr>
          <w:rFonts w:asciiTheme="minorHAnsi" w:hAnsiTheme="minorHAnsi" w:cs="Arial"/>
          <w:color w:val="auto"/>
          <w:sz w:val="20"/>
          <w:szCs w:val="20"/>
        </w:rPr>
        <w:t xml:space="preserve"> tendant à promettre d'offrir ou d'accorder au candidat, à sa famille ou un agent public, directement ou indirectement, soit pour eux--même ou pour une autre entité, une rémunération ou un avantage de quelque nature que ce soit à l’occasion de la présélection des dossiers de candidature à la bourse Excellence-Major. </w:t>
      </w:r>
    </w:p>
    <w:p w14:paraId="6F358931" w14:textId="0DFC92B5" w:rsidR="00656F49" w:rsidRDefault="00B120FD" w:rsidP="005405EC">
      <w:pPr>
        <w:pStyle w:val="Default"/>
        <w:spacing w:before="120" w:after="120"/>
        <w:jc w:val="both"/>
        <w:rPr>
          <w:rFonts w:asciiTheme="minorHAnsi" w:hAnsiTheme="minorHAnsi" w:cs="Arial"/>
          <w:color w:val="auto"/>
          <w:sz w:val="20"/>
          <w:szCs w:val="20"/>
        </w:rPr>
      </w:pPr>
      <w:r>
        <w:rPr>
          <w:rFonts w:asciiTheme="minorHAnsi" w:hAnsiTheme="minorHAnsi" w:cs="Arial"/>
          <w:color w:val="auto"/>
          <w:sz w:val="20"/>
          <w:szCs w:val="20"/>
        </w:rPr>
        <w:t>Je déclare avoir pré</w:t>
      </w:r>
      <w:r w:rsidR="00656F49" w:rsidRPr="00656F49">
        <w:rPr>
          <w:rFonts w:asciiTheme="minorHAnsi" w:hAnsiTheme="minorHAnsi" w:cs="Arial"/>
          <w:color w:val="auto"/>
          <w:sz w:val="20"/>
          <w:szCs w:val="20"/>
        </w:rPr>
        <w:t>sélectionné et/ou évalué le</w:t>
      </w:r>
      <w:r w:rsidR="005405EC">
        <w:rPr>
          <w:rFonts w:asciiTheme="minorHAnsi" w:hAnsiTheme="minorHAnsi" w:cs="Arial"/>
          <w:color w:val="auto"/>
          <w:sz w:val="20"/>
          <w:szCs w:val="20"/>
        </w:rPr>
        <w:t>/la/</w:t>
      </w:r>
      <w:r w:rsidR="00656F49" w:rsidRPr="00656F49">
        <w:rPr>
          <w:rFonts w:asciiTheme="minorHAnsi" w:hAnsiTheme="minorHAnsi" w:cs="Arial"/>
          <w:color w:val="auto"/>
          <w:sz w:val="20"/>
          <w:szCs w:val="20"/>
        </w:rPr>
        <w:t xml:space="preserve">les candidats uniquement sur la base des critères définis dans la circulaire annuelle AEFE précisant les modalités de candidature et d’évaluation des dossiers pour l’attribution d’une bourse Excellence-Major : </w:t>
      </w:r>
    </w:p>
    <w:p w14:paraId="73DD0FD0" w14:textId="77777777" w:rsidR="00656F49" w:rsidRDefault="00656F49" w:rsidP="005405EC">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J’ai bien pris connaissance des sanctions pénales encourues par l’auteur d’une fausse déclaration. </w:t>
      </w:r>
    </w:p>
    <w:p w14:paraId="2EFA6242" w14:textId="77777777" w:rsidR="00656F49" w:rsidRPr="00656F49" w:rsidRDefault="00656F49" w:rsidP="00656F49">
      <w:pPr>
        <w:pStyle w:val="Default"/>
        <w:jc w:val="both"/>
        <w:rPr>
          <w:rFonts w:asciiTheme="minorHAnsi" w:hAnsiTheme="minorHAnsi" w:cs="Arial"/>
          <w:color w:val="auto"/>
          <w:sz w:val="20"/>
          <w:szCs w:val="20"/>
        </w:rPr>
      </w:pPr>
    </w:p>
    <w:p w14:paraId="38C65F57" w14:textId="425CB917" w:rsidR="005405EC" w:rsidRDefault="00B120FD" w:rsidP="005405EC">
      <w:pPr>
        <w:pStyle w:val="Default"/>
        <w:jc w:val="right"/>
        <w:rPr>
          <w:rFonts w:asciiTheme="minorHAnsi" w:hAnsiTheme="minorHAnsi" w:cs="Arial"/>
          <w:color w:val="auto"/>
          <w:sz w:val="20"/>
          <w:szCs w:val="20"/>
        </w:rPr>
      </w:pPr>
      <w:r>
        <w:rPr>
          <w:rFonts w:asciiTheme="minorHAnsi" w:hAnsiTheme="minorHAnsi" w:cs="Arial"/>
          <w:color w:val="auto"/>
          <w:sz w:val="20"/>
          <w:szCs w:val="20"/>
        </w:rPr>
        <w:t>Fait à</w:t>
      </w:r>
      <w:proofErr w:type="gramStart"/>
      <w:r>
        <w:rPr>
          <w:rFonts w:asciiTheme="minorHAnsi" w:hAnsiTheme="minorHAnsi" w:cs="Arial"/>
          <w:color w:val="auto"/>
          <w:sz w:val="20"/>
          <w:szCs w:val="20"/>
        </w:rPr>
        <w:t>………………..</w:t>
      </w:r>
      <w:bookmarkStart w:id="0" w:name="_GoBack"/>
      <w:bookmarkEnd w:id="0"/>
      <w:r w:rsidR="005405EC" w:rsidRPr="00656F49">
        <w:rPr>
          <w:rFonts w:asciiTheme="minorHAnsi" w:hAnsiTheme="minorHAnsi" w:cs="Arial"/>
          <w:color w:val="auto"/>
          <w:sz w:val="20"/>
          <w:szCs w:val="20"/>
        </w:rPr>
        <w:t>…………………………………………</w:t>
      </w:r>
      <w:proofErr w:type="gramEnd"/>
      <w:r w:rsidR="00656F49" w:rsidRPr="00656F49">
        <w:rPr>
          <w:rFonts w:asciiTheme="minorHAnsi" w:hAnsiTheme="minorHAnsi" w:cs="Arial"/>
          <w:color w:val="auto"/>
          <w:sz w:val="20"/>
          <w:szCs w:val="20"/>
        </w:rPr>
        <w:t xml:space="preserve"> le…………….</w:t>
      </w:r>
      <w:r w:rsidR="005405EC" w:rsidRPr="00656F49">
        <w:rPr>
          <w:rFonts w:asciiTheme="minorHAnsi" w:hAnsiTheme="minorHAnsi" w:cs="Arial"/>
          <w:color w:val="auto"/>
          <w:sz w:val="20"/>
          <w:szCs w:val="20"/>
        </w:rPr>
        <w:t>……………………</w:t>
      </w:r>
    </w:p>
    <w:p w14:paraId="75CCBAB2" w14:textId="7B171488" w:rsidR="00656F49" w:rsidRDefault="00656F49" w:rsidP="005405EC">
      <w:pPr>
        <w:pStyle w:val="Default"/>
        <w:jc w:val="right"/>
        <w:rPr>
          <w:rFonts w:asciiTheme="minorHAnsi" w:hAnsiTheme="minorHAnsi" w:cs="Arial"/>
          <w:color w:val="auto"/>
          <w:sz w:val="20"/>
          <w:szCs w:val="20"/>
        </w:rPr>
      </w:pPr>
      <w:r w:rsidRPr="00656F49">
        <w:rPr>
          <w:rFonts w:asciiTheme="minorHAnsi" w:hAnsiTheme="minorHAnsi" w:cs="Arial"/>
          <w:color w:val="auto"/>
          <w:sz w:val="20"/>
          <w:szCs w:val="20"/>
        </w:rPr>
        <w:t xml:space="preserve">Signature précédée de la mention </w:t>
      </w:r>
      <w:r w:rsidR="005405EC">
        <w:rPr>
          <w:rFonts w:asciiTheme="minorHAnsi" w:hAnsiTheme="minorHAnsi" w:cs="Arial"/>
          <w:color w:val="auto"/>
          <w:sz w:val="20"/>
          <w:szCs w:val="20"/>
        </w:rPr>
        <w:t>« Lu et approuvé »</w:t>
      </w:r>
    </w:p>
    <w:p w14:paraId="707332F6" w14:textId="77777777" w:rsidR="005405EC" w:rsidRDefault="005405EC" w:rsidP="005405EC">
      <w:pPr>
        <w:pStyle w:val="Default"/>
        <w:jc w:val="right"/>
        <w:rPr>
          <w:rFonts w:asciiTheme="minorHAnsi" w:hAnsiTheme="minorHAnsi" w:cs="Arial"/>
          <w:color w:val="auto"/>
          <w:sz w:val="20"/>
          <w:szCs w:val="20"/>
        </w:rPr>
      </w:pPr>
    </w:p>
    <w:p w14:paraId="0E76F571" w14:textId="77777777" w:rsidR="005405EC" w:rsidRDefault="005405EC" w:rsidP="005405EC">
      <w:pPr>
        <w:pStyle w:val="Default"/>
        <w:jc w:val="right"/>
        <w:rPr>
          <w:rFonts w:asciiTheme="minorHAnsi" w:hAnsiTheme="minorHAnsi" w:cs="Arial"/>
          <w:color w:val="auto"/>
          <w:sz w:val="20"/>
          <w:szCs w:val="20"/>
        </w:rPr>
      </w:pPr>
    </w:p>
    <w:p w14:paraId="04B29D16" w14:textId="77777777" w:rsidR="005405EC" w:rsidRDefault="005405EC" w:rsidP="005405EC">
      <w:pPr>
        <w:pStyle w:val="Default"/>
        <w:jc w:val="right"/>
        <w:rPr>
          <w:rFonts w:asciiTheme="minorHAnsi" w:hAnsiTheme="minorHAnsi" w:cs="Arial"/>
          <w:color w:val="auto"/>
          <w:sz w:val="20"/>
          <w:szCs w:val="20"/>
        </w:rPr>
      </w:pPr>
    </w:p>
    <w:p w14:paraId="3F7BA695" w14:textId="77777777" w:rsidR="005405EC" w:rsidRDefault="005405EC" w:rsidP="005405EC">
      <w:pPr>
        <w:pStyle w:val="Default"/>
        <w:jc w:val="right"/>
        <w:rPr>
          <w:rFonts w:asciiTheme="minorHAnsi" w:hAnsiTheme="minorHAnsi" w:cs="Arial"/>
          <w:color w:val="auto"/>
          <w:sz w:val="20"/>
          <w:szCs w:val="20"/>
        </w:rPr>
      </w:pPr>
    </w:p>
    <w:p w14:paraId="05B281AB" w14:textId="77777777" w:rsidR="005405EC" w:rsidRDefault="005405EC" w:rsidP="005405EC">
      <w:pPr>
        <w:pStyle w:val="Default"/>
        <w:jc w:val="right"/>
        <w:rPr>
          <w:rFonts w:asciiTheme="minorHAnsi" w:hAnsiTheme="minorHAnsi" w:cs="Arial"/>
          <w:color w:val="auto"/>
          <w:sz w:val="20"/>
          <w:szCs w:val="20"/>
        </w:rPr>
      </w:pPr>
    </w:p>
    <w:p w14:paraId="318FE747" w14:textId="77777777" w:rsidR="005405EC" w:rsidRDefault="005405EC" w:rsidP="005405EC">
      <w:pPr>
        <w:pStyle w:val="Default"/>
        <w:jc w:val="right"/>
        <w:rPr>
          <w:rFonts w:asciiTheme="minorHAnsi" w:hAnsiTheme="minorHAnsi" w:cs="Arial"/>
          <w:color w:val="auto"/>
          <w:sz w:val="20"/>
          <w:szCs w:val="20"/>
        </w:rPr>
      </w:pPr>
    </w:p>
    <w:p w14:paraId="78A8627D" w14:textId="77777777" w:rsidR="005405EC" w:rsidRDefault="005405EC" w:rsidP="005405EC">
      <w:pPr>
        <w:pStyle w:val="Default"/>
        <w:jc w:val="right"/>
        <w:rPr>
          <w:rFonts w:asciiTheme="minorHAnsi" w:hAnsiTheme="minorHAnsi" w:cs="Arial"/>
          <w:color w:val="auto"/>
          <w:sz w:val="20"/>
          <w:szCs w:val="20"/>
        </w:rPr>
      </w:pPr>
    </w:p>
    <w:p w14:paraId="6ED74221" w14:textId="77777777" w:rsidR="005405EC" w:rsidRDefault="005405EC" w:rsidP="005405EC">
      <w:pPr>
        <w:pStyle w:val="Default"/>
        <w:jc w:val="right"/>
        <w:rPr>
          <w:rFonts w:asciiTheme="minorHAnsi" w:hAnsiTheme="minorHAnsi" w:cs="Arial"/>
          <w:color w:val="auto"/>
          <w:sz w:val="20"/>
          <w:szCs w:val="20"/>
        </w:rPr>
      </w:pPr>
    </w:p>
    <w:p w14:paraId="5310DB68" w14:textId="77777777" w:rsidR="005405EC" w:rsidRDefault="005405EC" w:rsidP="005405EC">
      <w:pPr>
        <w:pStyle w:val="Default"/>
        <w:jc w:val="right"/>
        <w:rPr>
          <w:rFonts w:asciiTheme="minorHAnsi" w:hAnsiTheme="minorHAnsi" w:cs="Arial"/>
          <w:color w:val="auto"/>
          <w:sz w:val="20"/>
          <w:szCs w:val="20"/>
        </w:rPr>
      </w:pPr>
    </w:p>
    <w:p w14:paraId="48BE0284" w14:textId="77777777" w:rsidR="005405EC" w:rsidRDefault="005405EC" w:rsidP="005405EC">
      <w:pPr>
        <w:pStyle w:val="Default"/>
        <w:jc w:val="right"/>
        <w:rPr>
          <w:rFonts w:asciiTheme="minorHAnsi" w:hAnsiTheme="minorHAnsi" w:cs="Arial"/>
          <w:color w:val="auto"/>
          <w:sz w:val="20"/>
          <w:szCs w:val="20"/>
        </w:rPr>
      </w:pPr>
    </w:p>
    <w:p w14:paraId="3C7364B6" w14:textId="77777777" w:rsidR="005405EC" w:rsidRPr="00656F49" w:rsidRDefault="005405EC" w:rsidP="005405EC">
      <w:pPr>
        <w:pStyle w:val="Default"/>
        <w:jc w:val="right"/>
        <w:rPr>
          <w:rFonts w:asciiTheme="minorHAnsi" w:hAnsiTheme="minorHAnsi" w:cs="Arial"/>
          <w:color w:val="auto"/>
          <w:sz w:val="20"/>
          <w:szCs w:val="20"/>
        </w:rPr>
      </w:pPr>
    </w:p>
    <w:p w14:paraId="4A2323AB" w14:textId="7777777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Article 433-1 du code pénal : </w:t>
      </w:r>
    </w:p>
    <w:p w14:paraId="411C2B44" w14:textId="7777777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 Est puni de dix ans d'emprisonnement et d'une amende de 1 000 000 €, dont le montant peut être porté au double du produit tiré de l'infraction, le fait, par quiconque, de proposer sans droit, à tout moment, directement ou indirectement, des offres, des promesses, des dons, des présents ou des avantages quelconques à une personne dépositaire de l'autorité publique, chargée d'une mission de service public ou investie d'un mandat électif public, pour elle-même ou pour autrui » </w:t>
      </w:r>
    </w:p>
    <w:p w14:paraId="70B4A8DD" w14:textId="7777777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Article 441-7 du code pénal : </w:t>
      </w:r>
    </w:p>
    <w:p w14:paraId="5DBF2C55" w14:textId="7777777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 Est puni d’un an d’emprisonnement et de 15000€ euros d’amende le fait » : </w:t>
      </w:r>
    </w:p>
    <w:p w14:paraId="0A149113" w14:textId="7777777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1° D'établir une attestation ou un certificat faisant état de faits matériellement inexacts ; </w:t>
      </w:r>
    </w:p>
    <w:p w14:paraId="520E315C" w14:textId="7777777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2° De falsifier une attestation ou un certificat originairement sincère ; </w:t>
      </w:r>
    </w:p>
    <w:p w14:paraId="05887DC0" w14:textId="01E30A47" w:rsidR="00656F49" w:rsidRPr="005405EC" w:rsidRDefault="00656F49" w:rsidP="00656F49">
      <w:pPr>
        <w:pStyle w:val="Default"/>
        <w:jc w:val="both"/>
        <w:rPr>
          <w:rFonts w:asciiTheme="minorHAnsi" w:hAnsiTheme="minorHAnsi" w:cs="Arial"/>
          <w:color w:val="auto"/>
          <w:sz w:val="16"/>
          <w:szCs w:val="16"/>
        </w:rPr>
      </w:pPr>
      <w:r w:rsidRPr="005405EC">
        <w:rPr>
          <w:rFonts w:asciiTheme="minorHAnsi" w:hAnsiTheme="minorHAnsi" w:cs="Arial"/>
          <w:i/>
          <w:iCs/>
          <w:color w:val="auto"/>
          <w:sz w:val="16"/>
          <w:szCs w:val="16"/>
        </w:rPr>
        <w:t xml:space="preserve">3° De faire usage d'une attestation ou d'un certificat inexact ou falsifié. </w:t>
      </w:r>
    </w:p>
    <w:p w14:paraId="604CF4BB" w14:textId="77777777" w:rsidR="00656F49" w:rsidRPr="00656F49" w:rsidRDefault="00656F49" w:rsidP="00656F49">
      <w:pPr>
        <w:pStyle w:val="Default"/>
        <w:jc w:val="both"/>
        <w:rPr>
          <w:rFonts w:asciiTheme="minorHAnsi" w:hAnsiTheme="minorHAnsi"/>
          <w:color w:val="auto"/>
        </w:rPr>
      </w:pPr>
    </w:p>
    <w:p w14:paraId="03559CCD" w14:textId="5C97DB79" w:rsidR="00656F49" w:rsidRPr="00656F49" w:rsidRDefault="00656F49" w:rsidP="00656F49">
      <w:pPr>
        <w:pStyle w:val="Default"/>
        <w:pageBreakBefore/>
        <w:jc w:val="both"/>
        <w:rPr>
          <w:rFonts w:asciiTheme="minorHAnsi" w:hAnsiTheme="minorHAnsi" w:cs="Arial"/>
          <w:color w:val="auto"/>
          <w:sz w:val="20"/>
          <w:szCs w:val="20"/>
        </w:rPr>
      </w:pPr>
      <w:r w:rsidRPr="00656F49">
        <w:rPr>
          <w:rFonts w:asciiTheme="minorHAnsi" w:hAnsiTheme="minorHAnsi" w:cs="Arial"/>
          <w:color w:val="auto"/>
          <w:sz w:val="20"/>
          <w:szCs w:val="20"/>
        </w:rPr>
        <w:lastRenderedPageBreak/>
        <w:t xml:space="preserve">Dans le cadre de la gestion du programme de bourses Excellence-Major, l’AEFE met en </w:t>
      </w:r>
      <w:r w:rsidR="005405EC" w:rsidRPr="00656F49">
        <w:rPr>
          <w:rFonts w:asciiTheme="minorHAnsi" w:hAnsiTheme="minorHAnsi" w:cs="Arial"/>
          <w:color w:val="auto"/>
          <w:sz w:val="20"/>
          <w:szCs w:val="20"/>
        </w:rPr>
        <w:t>œuvre</w:t>
      </w:r>
      <w:r w:rsidRPr="00656F49">
        <w:rPr>
          <w:rFonts w:asciiTheme="minorHAnsi" w:hAnsiTheme="minorHAnsi" w:cs="Arial"/>
          <w:color w:val="auto"/>
          <w:sz w:val="20"/>
          <w:szCs w:val="20"/>
        </w:rPr>
        <w:t xml:space="preserve"> des points de contrôle dans l’instruction des dossiers de candidature présentés par les chefs d’ét</w:t>
      </w:r>
      <w:r w:rsidR="005405EC">
        <w:rPr>
          <w:rFonts w:asciiTheme="minorHAnsi" w:hAnsiTheme="minorHAnsi" w:cs="Arial"/>
          <w:color w:val="auto"/>
          <w:sz w:val="20"/>
          <w:szCs w:val="20"/>
        </w:rPr>
        <w:t>ablissement du réseau homologué</w:t>
      </w:r>
      <w:r w:rsidRPr="00656F49">
        <w:rPr>
          <w:rFonts w:asciiTheme="minorHAnsi" w:hAnsiTheme="minorHAnsi" w:cs="Arial"/>
          <w:color w:val="auto"/>
          <w:sz w:val="20"/>
          <w:szCs w:val="20"/>
        </w:rPr>
        <w:t xml:space="preserve">, soumis à l’évaluation des </w:t>
      </w:r>
      <w:r w:rsidR="005405EC">
        <w:rPr>
          <w:rFonts w:asciiTheme="minorHAnsi" w:hAnsiTheme="minorHAnsi" w:cs="Arial"/>
          <w:color w:val="auto"/>
          <w:sz w:val="20"/>
          <w:szCs w:val="20"/>
        </w:rPr>
        <w:t>s</w:t>
      </w:r>
      <w:r w:rsidRPr="00656F49">
        <w:rPr>
          <w:rFonts w:asciiTheme="minorHAnsi" w:hAnsiTheme="minorHAnsi" w:cs="Arial"/>
          <w:color w:val="auto"/>
          <w:sz w:val="20"/>
          <w:szCs w:val="20"/>
        </w:rPr>
        <w:t>ervices de coopération et d’action culturelle</w:t>
      </w:r>
      <w:r w:rsidR="006A4D4A">
        <w:rPr>
          <w:rFonts w:asciiTheme="minorHAnsi" w:hAnsiTheme="minorHAnsi" w:cs="Arial"/>
          <w:color w:val="auto"/>
          <w:sz w:val="20"/>
          <w:szCs w:val="20"/>
        </w:rPr>
        <w:t xml:space="preserve"> des ambassades</w:t>
      </w:r>
      <w:r w:rsidRPr="00656F49">
        <w:rPr>
          <w:rFonts w:asciiTheme="minorHAnsi" w:hAnsiTheme="minorHAnsi" w:cs="Arial"/>
          <w:color w:val="auto"/>
          <w:sz w:val="20"/>
          <w:szCs w:val="20"/>
        </w:rPr>
        <w:t xml:space="preserve">, à l’évaluation des membres de la commission de sélection et à la gestion de Campus France. </w:t>
      </w:r>
    </w:p>
    <w:p w14:paraId="066D2969" w14:textId="77777777" w:rsidR="00656F49" w:rsidRPr="00656F49" w:rsidRDefault="00656F49" w:rsidP="00656F49">
      <w:pPr>
        <w:pStyle w:val="Default"/>
        <w:spacing w:before="120" w:after="120"/>
        <w:jc w:val="both"/>
        <w:rPr>
          <w:rFonts w:asciiTheme="minorHAnsi" w:hAnsiTheme="minorHAnsi"/>
          <w:color w:val="auto"/>
          <w:sz w:val="20"/>
          <w:szCs w:val="20"/>
        </w:rPr>
      </w:pPr>
      <w:r w:rsidRPr="00656F49">
        <w:rPr>
          <w:rFonts w:asciiTheme="minorHAnsi" w:hAnsiTheme="minorHAnsi" w:cs="Arial"/>
          <w:b/>
          <w:bCs/>
          <w:color w:val="auto"/>
          <w:sz w:val="20"/>
          <w:szCs w:val="20"/>
        </w:rPr>
        <w:t xml:space="preserve">1. Présentation d’un dossier de candidature à l’AEFE </w:t>
      </w:r>
    </w:p>
    <w:p w14:paraId="24DA58D1" w14:textId="77777777" w:rsidR="00656F49" w:rsidRPr="00656F49" w:rsidRDefault="00656F49" w:rsidP="00656F49">
      <w:pPr>
        <w:pStyle w:val="Default"/>
        <w:jc w:val="both"/>
        <w:rPr>
          <w:rFonts w:asciiTheme="minorHAnsi" w:hAnsiTheme="minorHAnsi"/>
          <w:color w:val="auto"/>
          <w:sz w:val="20"/>
          <w:szCs w:val="20"/>
        </w:rPr>
      </w:pPr>
    </w:p>
    <w:p w14:paraId="678E2230" w14:textId="3C1A19AD" w:rsidR="00656F49" w:rsidRPr="00656F49" w:rsidRDefault="006A4D4A" w:rsidP="00656F49">
      <w:pPr>
        <w:pStyle w:val="Default"/>
        <w:jc w:val="both"/>
        <w:rPr>
          <w:rFonts w:asciiTheme="minorHAnsi" w:hAnsiTheme="minorHAnsi" w:cs="Arial"/>
          <w:color w:val="auto"/>
          <w:sz w:val="20"/>
          <w:szCs w:val="20"/>
        </w:rPr>
      </w:pPr>
      <w:r>
        <w:rPr>
          <w:rFonts w:asciiTheme="minorHAnsi" w:hAnsiTheme="minorHAnsi" w:cs="Arial"/>
          <w:b/>
          <w:bCs/>
          <w:color w:val="auto"/>
          <w:sz w:val="20"/>
          <w:szCs w:val="20"/>
        </w:rPr>
        <w:t>É</w:t>
      </w:r>
      <w:r w:rsidR="00656F49" w:rsidRPr="00656F49">
        <w:rPr>
          <w:rFonts w:asciiTheme="minorHAnsi" w:hAnsiTheme="minorHAnsi" w:cs="Arial"/>
          <w:b/>
          <w:bCs/>
          <w:color w:val="auto"/>
          <w:sz w:val="20"/>
          <w:szCs w:val="20"/>
        </w:rPr>
        <w:t xml:space="preserve">tablissement d’origine </w:t>
      </w:r>
    </w:p>
    <w:p w14:paraId="52C28A97"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Lors de la présentation d’un dossier de candidature à la bourse Excellence-Major, le chef d’établissement s’engage à signer la déclaration d’absence d’intérêts pour l’ensemble des candidatures présentées. Ce document est partie intégrante du dossier de candidature. </w:t>
      </w:r>
    </w:p>
    <w:p w14:paraId="0C4BA610"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Dans le cas où le chef d’établissement possède un lien avec le candidat présélectionné par l’équipe pédagogique, celui s’engage au déport. Le déport consiste à ne pas prendre, préparer ou donner un avis sur une décision qui relève en temps normal de ses attributions, afin d’éviter un conflit d’intérêts. </w:t>
      </w:r>
    </w:p>
    <w:p w14:paraId="4D2E7A2B" w14:textId="6778681E" w:rsidR="00656F49" w:rsidRPr="00656F49" w:rsidRDefault="00656F49" w:rsidP="00656F49">
      <w:pPr>
        <w:pStyle w:val="Default"/>
        <w:jc w:val="both"/>
        <w:rPr>
          <w:rFonts w:asciiTheme="minorHAnsi" w:hAnsiTheme="minorHAnsi" w:cs="Arial"/>
          <w:color w:val="auto"/>
          <w:sz w:val="20"/>
          <w:szCs w:val="20"/>
        </w:rPr>
      </w:pPr>
      <w:r w:rsidRPr="00656F49">
        <w:rPr>
          <w:rFonts w:asciiTheme="minorHAnsi" w:hAnsiTheme="minorHAnsi" w:cs="Arial"/>
          <w:color w:val="auto"/>
          <w:sz w:val="20"/>
          <w:szCs w:val="20"/>
        </w:rPr>
        <w:t>L’organisation du déport est en plusieurs étapes</w:t>
      </w:r>
      <w:r w:rsidR="006A4D4A">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0B11B2F8" w14:textId="41AEE391" w:rsidR="00656F49" w:rsidRPr="00656F49" w:rsidRDefault="00656F49" w:rsidP="006A4D4A">
      <w:pPr>
        <w:pStyle w:val="Default"/>
        <w:numPr>
          <w:ilvl w:val="0"/>
          <w:numId w:val="17"/>
        </w:numPr>
        <w:jc w:val="both"/>
        <w:rPr>
          <w:rFonts w:asciiTheme="minorHAnsi" w:hAnsiTheme="minorHAnsi" w:cs="Arial"/>
          <w:color w:val="auto"/>
          <w:sz w:val="20"/>
          <w:szCs w:val="20"/>
        </w:rPr>
      </w:pPr>
      <w:r w:rsidRPr="00656F49">
        <w:rPr>
          <w:rFonts w:asciiTheme="minorHAnsi" w:hAnsiTheme="minorHAnsi" w:cs="Arial"/>
          <w:color w:val="auto"/>
          <w:sz w:val="20"/>
          <w:szCs w:val="20"/>
        </w:rPr>
        <w:t>Identification de l’objet / de la matière sur lequel se déporter</w:t>
      </w:r>
      <w:r w:rsidR="006A4D4A">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410B846C" w14:textId="34216ADA" w:rsidR="00656F49" w:rsidRPr="00656F49" w:rsidRDefault="00656F49" w:rsidP="006A4D4A">
      <w:pPr>
        <w:pStyle w:val="Default"/>
        <w:numPr>
          <w:ilvl w:val="0"/>
          <w:numId w:val="17"/>
        </w:numPr>
        <w:jc w:val="both"/>
        <w:rPr>
          <w:rFonts w:asciiTheme="minorHAnsi" w:hAnsiTheme="minorHAnsi" w:cs="Arial"/>
          <w:color w:val="auto"/>
          <w:sz w:val="20"/>
          <w:szCs w:val="20"/>
        </w:rPr>
      </w:pPr>
      <w:r w:rsidRPr="00656F49">
        <w:rPr>
          <w:rFonts w:asciiTheme="minorHAnsi" w:hAnsiTheme="minorHAnsi" w:cs="Arial"/>
          <w:color w:val="auto"/>
          <w:sz w:val="20"/>
          <w:szCs w:val="20"/>
        </w:rPr>
        <w:t>Organisation de la procédure de déport</w:t>
      </w:r>
      <w:r w:rsidR="006A4D4A">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401DC9AC" w14:textId="0636CE0C" w:rsidR="006A4D4A" w:rsidRDefault="00656F49" w:rsidP="006A4D4A">
      <w:pPr>
        <w:pStyle w:val="Default"/>
        <w:numPr>
          <w:ilvl w:val="1"/>
          <w:numId w:val="19"/>
        </w:numPr>
        <w:jc w:val="both"/>
        <w:rPr>
          <w:rFonts w:asciiTheme="minorHAnsi" w:hAnsiTheme="minorHAnsi" w:cs="Arial"/>
          <w:color w:val="auto"/>
          <w:sz w:val="20"/>
          <w:szCs w:val="20"/>
        </w:rPr>
      </w:pPr>
      <w:r w:rsidRPr="006A4D4A">
        <w:rPr>
          <w:rFonts w:asciiTheme="minorHAnsi" w:hAnsiTheme="minorHAnsi" w:cs="Arial"/>
          <w:color w:val="auto"/>
          <w:sz w:val="20"/>
          <w:szCs w:val="20"/>
        </w:rPr>
        <w:t>Délégation de la prise de décision et de la signature (aucune instruction ne peut être donnée au délégataire)</w:t>
      </w:r>
      <w:r w:rsidR="006A4D4A">
        <w:rPr>
          <w:rFonts w:asciiTheme="minorHAnsi" w:hAnsiTheme="minorHAnsi" w:cs="Arial"/>
          <w:color w:val="auto"/>
          <w:sz w:val="20"/>
          <w:szCs w:val="20"/>
        </w:rPr>
        <w:t> </w:t>
      </w:r>
      <w:r w:rsidRPr="006A4D4A">
        <w:rPr>
          <w:rFonts w:asciiTheme="minorHAnsi" w:hAnsiTheme="minorHAnsi" w:cs="Arial"/>
          <w:color w:val="auto"/>
          <w:sz w:val="20"/>
          <w:szCs w:val="20"/>
        </w:rPr>
        <w:t xml:space="preserve">; </w:t>
      </w:r>
    </w:p>
    <w:p w14:paraId="53596919" w14:textId="21B8E9C6" w:rsidR="00656F49" w:rsidRPr="006A4D4A" w:rsidRDefault="00656F49" w:rsidP="006A4D4A">
      <w:pPr>
        <w:pStyle w:val="Default"/>
        <w:numPr>
          <w:ilvl w:val="1"/>
          <w:numId w:val="19"/>
        </w:numPr>
        <w:jc w:val="both"/>
        <w:rPr>
          <w:rFonts w:asciiTheme="minorHAnsi" w:hAnsiTheme="minorHAnsi" w:cs="Arial"/>
          <w:color w:val="auto"/>
          <w:sz w:val="20"/>
          <w:szCs w:val="20"/>
        </w:rPr>
      </w:pPr>
      <w:r w:rsidRPr="006A4D4A">
        <w:rPr>
          <w:rFonts w:asciiTheme="minorHAnsi" w:hAnsiTheme="minorHAnsi" w:cs="Arial"/>
          <w:color w:val="auto"/>
          <w:sz w:val="20"/>
          <w:szCs w:val="20"/>
        </w:rPr>
        <w:t>Publicité préalable afin de ne pas être informé des éléments relatifs à la décision</w:t>
      </w:r>
      <w:r w:rsidR="006A4D4A">
        <w:rPr>
          <w:rFonts w:asciiTheme="minorHAnsi" w:hAnsiTheme="minorHAnsi" w:cs="Arial"/>
          <w:color w:val="auto"/>
          <w:sz w:val="20"/>
          <w:szCs w:val="20"/>
        </w:rPr>
        <w:t> </w:t>
      </w:r>
      <w:r w:rsidRPr="006A4D4A">
        <w:rPr>
          <w:rFonts w:asciiTheme="minorHAnsi" w:hAnsiTheme="minorHAnsi" w:cs="Arial"/>
          <w:color w:val="auto"/>
          <w:sz w:val="20"/>
          <w:szCs w:val="20"/>
        </w:rPr>
        <w:t xml:space="preserve">; </w:t>
      </w:r>
    </w:p>
    <w:p w14:paraId="2821C903" w14:textId="1DBFA28D" w:rsidR="00656F49" w:rsidRPr="00656F49" w:rsidRDefault="00656F49" w:rsidP="006A4D4A">
      <w:pPr>
        <w:pStyle w:val="Default"/>
        <w:numPr>
          <w:ilvl w:val="1"/>
          <w:numId w:val="19"/>
        </w:numPr>
        <w:jc w:val="both"/>
        <w:rPr>
          <w:rFonts w:asciiTheme="minorHAnsi" w:hAnsiTheme="minorHAnsi" w:cs="Arial"/>
          <w:color w:val="auto"/>
          <w:sz w:val="20"/>
          <w:szCs w:val="20"/>
        </w:rPr>
      </w:pPr>
      <w:r w:rsidRPr="00656F49">
        <w:rPr>
          <w:rFonts w:asciiTheme="minorHAnsi" w:hAnsiTheme="minorHAnsi" w:cs="Arial"/>
          <w:color w:val="auto"/>
          <w:sz w:val="20"/>
          <w:szCs w:val="20"/>
        </w:rPr>
        <w:t>Ne pas participer aux réunions préparatoires</w:t>
      </w:r>
      <w:r w:rsidR="006A4D4A">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33294544" w14:textId="2A1C99CE" w:rsidR="00656F49" w:rsidRDefault="00656F49" w:rsidP="006A4D4A">
      <w:pPr>
        <w:pStyle w:val="Default"/>
        <w:numPr>
          <w:ilvl w:val="1"/>
          <w:numId w:val="19"/>
        </w:numPr>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Sortir de la salle au moment de la prise de décision collégiale. </w:t>
      </w:r>
    </w:p>
    <w:p w14:paraId="38F34059" w14:textId="77777777" w:rsidR="006A4D4A" w:rsidRPr="00656F49" w:rsidRDefault="006A4D4A" w:rsidP="006A4D4A">
      <w:pPr>
        <w:pStyle w:val="Default"/>
        <w:jc w:val="both"/>
        <w:rPr>
          <w:rFonts w:asciiTheme="minorHAnsi" w:hAnsiTheme="minorHAnsi" w:cs="Arial"/>
          <w:color w:val="auto"/>
          <w:sz w:val="20"/>
          <w:szCs w:val="20"/>
        </w:rPr>
      </w:pPr>
    </w:p>
    <w:p w14:paraId="51531EFD" w14:textId="77777777" w:rsidR="00656F49" w:rsidRPr="00656F49" w:rsidRDefault="00656F49" w:rsidP="00656F49">
      <w:pPr>
        <w:pStyle w:val="Default"/>
        <w:jc w:val="both"/>
        <w:rPr>
          <w:rFonts w:asciiTheme="minorHAnsi" w:hAnsiTheme="minorHAnsi" w:cs="Arial"/>
          <w:color w:val="auto"/>
          <w:sz w:val="20"/>
          <w:szCs w:val="20"/>
        </w:rPr>
      </w:pPr>
      <w:r w:rsidRPr="00656F49">
        <w:rPr>
          <w:rFonts w:asciiTheme="minorHAnsi" w:hAnsiTheme="minorHAnsi" w:cs="Arial"/>
          <w:b/>
          <w:bCs/>
          <w:color w:val="auto"/>
          <w:sz w:val="20"/>
          <w:szCs w:val="20"/>
        </w:rPr>
        <w:t xml:space="preserve">Services de coopération et d’action culturelle (SCAC) </w:t>
      </w:r>
    </w:p>
    <w:p w14:paraId="7CD8AF37"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Lors de l’instruction du dossier par les Services de coopération et d’action culturelle, le COCAC s’engage à signer à signer la déclaration d’absence d’intérêts. </w:t>
      </w:r>
    </w:p>
    <w:p w14:paraId="1FC6D2FC"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Dans le cas où le COCAC possède un lien avec le candidat présélectionné par l’équipe pédagogique, celui s’engage au déport. Le déport consiste à ne pas prendre, préparer ou donner un avis sur une décision qui relève en temps normal de ses attributions, afin d’éviter un conflit d’intérêts. </w:t>
      </w:r>
    </w:p>
    <w:p w14:paraId="783C5F2B" w14:textId="77777777" w:rsidR="006A4D4A" w:rsidRPr="00656F49" w:rsidRDefault="006A4D4A" w:rsidP="006A4D4A">
      <w:pPr>
        <w:pStyle w:val="Default"/>
        <w:jc w:val="both"/>
        <w:rPr>
          <w:rFonts w:asciiTheme="minorHAnsi" w:hAnsiTheme="minorHAnsi" w:cs="Arial"/>
          <w:color w:val="auto"/>
          <w:sz w:val="20"/>
          <w:szCs w:val="20"/>
        </w:rPr>
      </w:pPr>
      <w:r w:rsidRPr="00656F49">
        <w:rPr>
          <w:rFonts w:asciiTheme="minorHAnsi" w:hAnsiTheme="minorHAnsi" w:cs="Arial"/>
          <w:color w:val="auto"/>
          <w:sz w:val="20"/>
          <w:szCs w:val="20"/>
        </w:rPr>
        <w:t>L’organisation du déport est en plusieurs étapes</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3F1BFF04" w14:textId="77777777" w:rsidR="006A4D4A" w:rsidRPr="00656F49" w:rsidRDefault="006A4D4A" w:rsidP="006A4D4A">
      <w:pPr>
        <w:pStyle w:val="Default"/>
        <w:numPr>
          <w:ilvl w:val="0"/>
          <w:numId w:val="17"/>
        </w:numPr>
        <w:jc w:val="both"/>
        <w:rPr>
          <w:rFonts w:asciiTheme="minorHAnsi" w:hAnsiTheme="minorHAnsi" w:cs="Arial"/>
          <w:color w:val="auto"/>
          <w:sz w:val="20"/>
          <w:szCs w:val="20"/>
        </w:rPr>
      </w:pPr>
      <w:r w:rsidRPr="00656F49">
        <w:rPr>
          <w:rFonts w:asciiTheme="minorHAnsi" w:hAnsiTheme="minorHAnsi" w:cs="Arial"/>
          <w:color w:val="auto"/>
          <w:sz w:val="20"/>
          <w:szCs w:val="20"/>
        </w:rPr>
        <w:t>Identification de l’objet / de la matière sur lequel se déporter</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301302D0" w14:textId="77777777" w:rsidR="006A4D4A" w:rsidRPr="00656F49" w:rsidRDefault="006A4D4A" w:rsidP="006A4D4A">
      <w:pPr>
        <w:pStyle w:val="Default"/>
        <w:numPr>
          <w:ilvl w:val="0"/>
          <w:numId w:val="17"/>
        </w:numPr>
        <w:jc w:val="both"/>
        <w:rPr>
          <w:rFonts w:asciiTheme="minorHAnsi" w:hAnsiTheme="minorHAnsi" w:cs="Arial"/>
          <w:color w:val="auto"/>
          <w:sz w:val="20"/>
          <w:szCs w:val="20"/>
        </w:rPr>
      </w:pPr>
      <w:r w:rsidRPr="00656F49">
        <w:rPr>
          <w:rFonts w:asciiTheme="minorHAnsi" w:hAnsiTheme="minorHAnsi" w:cs="Arial"/>
          <w:color w:val="auto"/>
          <w:sz w:val="20"/>
          <w:szCs w:val="20"/>
        </w:rPr>
        <w:t>Organisation de la procédure de déport</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645FAE8A" w14:textId="77777777" w:rsidR="006A4D4A" w:rsidRDefault="006A4D4A" w:rsidP="006A4D4A">
      <w:pPr>
        <w:pStyle w:val="Default"/>
        <w:numPr>
          <w:ilvl w:val="1"/>
          <w:numId w:val="19"/>
        </w:numPr>
        <w:jc w:val="both"/>
        <w:rPr>
          <w:rFonts w:asciiTheme="minorHAnsi" w:hAnsiTheme="minorHAnsi" w:cs="Arial"/>
          <w:color w:val="auto"/>
          <w:sz w:val="20"/>
          <w:szCs w:val="20"/>
        </w:rPr>
      </w:pPr>
      <w:r w:rsidRPr="006A4D4A">
        <w:rPr>
          <w:rFonts w:asciiTheme="minorHAnsi" w:hAnsiTheme="minorHAnsi" w:cs="Arial"/>
          <w:color w:val="auto"/>
          <w:sz w:val="20"/>
          <w:szCs w:val="20"/>
        </w:rPr>
        <w:t>Délégation de la prise de décision et de la signature (aucune instruction ne peut être donnée au délégataire)</w:t>
      </w:r>
      <w:r>
        <w:rPr>
          <w:rFonts w:asciiTheme="minorHAnsi" w:hAnsiTheme="minorHAnsi" w:cs="Arial"/>
          <w:color w:val="auto"/>
          <w:sz w:val="20"/>
          <w:szCs w:val="20"/>
        </w:rPr>
        <w:t> </w:t>
      </w:r>
      <w:r w:rsidRPr="006A4D4A">
        <w:rPr>
          <w:rFonts w:asciiTheme="minorHAnsi" w:hAnsiTheme="minorHAnsi" w:cs="Arial"/>
          <w:color w:val="auto"/>
          <w:sz w:val="20"/>
          <w:szCs w:val="20"/>
        </w:rPr>
        <w:t xml:space="preserve">; </w:t>
      </w:r>
    </w:p>
    <w:p w14:paraId="45B7E130" w14:textId="77777777" w:rsidR="006A4D4A" w:rsidRPr="006A4D4A" w:rsidRDefault="006A4D4A" w:rsidP="006A4D4A">
      <w:pPr>
        <w:pStyle w:val="Default"/>
        <w:numPr>
          <w:ilvl w:val="1"/>
          <w:numId w:val="19"/>
        </w:numPr>
        <w:jc w:val="both"/>
        <w:rPr>
          <w:rFonts w:asciiTheme="minorHAnsi" w:hAnsiTheme="minorHAnsi" w:cs="Arial"/>
          <w:color w:val="auto"/>
          <w:sz w:val="20"/>
          <w:szCs w:val="20"/>
        </w:rPr>
      </w:pPr>
      <w:r w:rsidRPr="006A4D4A">
        <w:rPr>
          <w:rFonts w:asciiTheme="minorHAnsi" w:hAnsiTheme="minorHAnsi" w:cs="Arial"/>
          <w:color w:val="auto"/>
          <w:sz w:val="20"/>
          <w:szCs w:val="20"/>
        </w:rPr>
        <w:t>Publicité préalable afin de ne pas être informé des éléments relatifs à la décision</w:t>
      </w:r>
      <w:r>
        <w:rPr>
          <w:rFonts w:asciiTheme="minorHAnsi" w:hAnsiTheme="minorHAnsi" w:cs="Arial"/>
          <w:color w:val="auto"/>
          <w:sz w:val="20"/>
          <w:szCs w:val="20"/>
        </w:rPr>
        <w:t> </w:t>
      </w:r>
      <w:r w:rsidRPr="006A4D4A">
        <w:rPr>
          <w:rFonts w:asciiTheme="minorHAnsi" w:hAnsiTheme="minorHAnsi" w:cs="Arial"/>
          <w:color w:val="auto"/>
          <w:sz w:val="20"/>
          <w:szCs w:val="20"/>
        </w:rPr>
        <w:t xml:space="preserve">; </w:t>
      </w:r>
    </w:p>
    <w:p w14:paraId="3A46CE59" w14:textId="77777777" w:rsidR="006A4D4A" w:rsidRPr="00656F49" w:rsidRDefault="006A4D4A" w:rsidP="006A4D4A">
      <w:pPr>
        <w:pStyle w:val="Default"/>
        <w:numPr>
          <w:ilvl w:val="1"/>
          <w:numId w:val="19"/>
        </w:numPr>
        <w:jc w:val="both"/>
        <w:rPr>
          <w:rFonts w:asciiTheme="minorHAnsi" w:hAnsiTheme="minorHAnsi" w:cs="Arial"/>
          <w:color w:val="auto"/>
          <w:sz w:val="20"/>
          <w:szCs w:val="20"/>
        </w:rPr>
      </w:pPr>
      <w:r w:rsidRPr="00656F49">
        <w:rPr>
          <w:rFonts w:asciiTheme="minorHAnsi" w:hAnsiTheme="minorHAnsi" w:cs="Arial"/>
          <w:color w:val="auto"/>
          <w:sz w:val="20"/>
          <w:szCs w:val="20"/>
        </w:rPr>
        <w:t>Ne pas participer aux réunions préparatoires</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4966F2FD" w14:textId="77777777" w:rsidR="006A4D4A" w:rsidRDefault="006A4D4A" w:rsidP="006A4D4A">
      <w:pPr>
        <w:pStyle w:val="Default"/>
        <w:numPr>
          <w:ilvl w:val="1"/>
          <w:numId w:val="19"/>
        </w:numPr>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Sortir de la salle au moment de la prise de décision collégiale. </w:t>
      </w:r>
    </w:p>
    <w:p w14:paraId="28B0330E" w14:textId="2173D9BA" w:rsidR="00656F49" w:rsidRPr="00656F49" w:rsidRDefault="00656F49" w:rsidP="006A4D4A">
      <w:pPr>
        <w:pStyle w:val="Default"/>
        <w:spacing w:before="120" w:after="120"/>
        <w:jc w:val="both"/>
        <w:rPr>
          <w:rFonts w:asciiTheme="minorHAnsi" w:hAnsiTheme="minorHAnsi" w:cs="Arial"/>
          <w:color w:val="auto"/>
          <w:sz w:val="22"/>
          <w:szCs w:val="22"/>
        </w:rPr>
      </w:pPr>
      <w:r w:rsidRPr="00656F49">
        <w:rPr>
          <w:rFonts w:asciiTheme="minorHAnsi" w:hAnsiTheme="minorHAnsi" w:cs="Arial"/>
          <w:color w:val="auto"/>
          <w:sz w:val="20"/>
          <w:szCs w:val="20"/>
        </w:rPr>
        <w:t>Durant la phase d’instruction, l’AEFE peut solliciter le COCAC pour obtenir la confirmation du taux de bourse proposé pour un candidat au regard des revenus déclarés dans le dossier de candidature. Si besoin, l’AEFE demande la communication des justificatifs de revenus lui permettant de contrôler l</w:t>
      </w:r>
      <w:r w:rsidR="006A4D4A">
        <w:rPr>
          <w:rFonts w:asciiTheme="minorHAnsi" w:hAnsiTheme="minorHAnsi" w:cs="Arial"/>
          <w:color w:val="auto"/>
          <w:sz w:val="20"/>
          <w:szCs w:val="20"/>
        </w:rPr>
        <w:t>’instruction faite par le SCAC.</w:t>
      </w:r>
    </w:p>
    <w:p w14:paraId="3B52D8BD" w14:textId="77777777" w:rsidR="00656F49" w:rsidRPr="00656F49" w:rsidRDefault="00656F49" w:rsidP="00656F49">
      <w:pPr>
        <w:pStyle w:val="Default"/>
        <w:pageBreakBefore/>
        <w:jc w:val="both"/>
        <w:rPr>
          <w:rFonts w:asciiTheme="minorHAnsi" w:hAnsiTheme="minorHAnsi"/>
          <w:color w:val="auto"/>
        </w:rPr>
      </w:pPr>
    </w:p>
    <w:p w14:paraId="745194C3" w14:textId="30B110B4" w:rsidR="00656F49" w:rsidRPr="00656F49" w:rsidRDefault="00656F49" w:rsidP="00656F49">
      <w:pPr>
        <w:pStyle w:val="Default"/>
        <w:spacing w:before="120" w:after="120"/>
        <w:jc w:val="both"/>
        <w:rPr>
          <w:rFonts w:asciiTheme="minorHAnsi" w:hAnsiTheme="minorHAnsi"/>
          <w:color w:val="auto"/>
          <w:sz w:val="20"/>
          <w:szCs w:val="20"/>
        </w:rPr>
      </w:pPr>
      <w:r w:rsidRPr="00656F49">
        <w:rPr>
          <w:rFonts w:asciiTheme="minorHAnsi" w:hAnsiTheme="minorHAnsi" w:cs="Arial"/>
          <w:b/>
          <w:bCs/>
          <w:color w:val="auto"/>
          <w:sz w:val="20"/>
          <w:szCs w:val="20"/>
        </w:rPr>
        <w:t xml:space="preserve">2. </w:t>
      </w:r>
      <w:r w:rsidR="00132DA6">
        <w:rPr>
          <w:rFonts w:asciiTheme="minorHAnsi" w:hAnsiTheme="minorHAnsi" w:cs="Arial"/>
          <w:b/>
          <w:bCs/>
          <w:color w:val="auto"/>
          <w:sz w:val="20"/>
          <w:szCs w:val="20"/>
        </w:rPr>
        <w:t>É</w:t>
      </w:r>
      <w:r w:rsidRPr="00656F49">
        <w:rPr>
          <w:rFonts w:asciiTheme="minorHAnsi" w:hAnsiTheme="minorHAnsi" w:cs="Arial"/>
          <w:b/>
          <w:bCs/>
          <w:color w:val="auto"/>
          <w:sz w:val="20"/>
          <w:szCs w:val="20"/>
        </w:rPr>
        <w:t xml:space="preserve">valuation des dossiers de candidature </w:t>
      </w:r>
    </w:p>
    <w:p w14:paraId="78C4EF54" w14:textId="77777777" w:rsidR="00656F49" w:rsidRPr="00656F49" w:rsidRDefault="00656F49" w:rsidP="00656F49">
      <w:pPr>
        <w:pStyle w:val="Default"/>
        <w:jc w:val="both"/>
        <w:rPr>
          <w:rFonts w:asciiTheme="minorHAnsi" w:hAnsiTheme="minorHAnsi"/>
          <w:color w:val="auto"/>
          <w:sz w:val="20"/>
          <w:szCs w:val="20"/>
        </w:rPr>
      </w:pPr>
    </w:p>
    <w:p w14:paraId="361E5856" w14:textId="77777777" w:rsidR="00656F49" w:rsidRPr="00656F49" w:rsidRDefault="00656F49" w:rsidP="00656F49">
      <w:pPr>
        <w:pStyle w:val="Default"/>
        <w:jc w:val="both"/>
        <w:rPr>
          <w:rFonts w:asciiTheme="minorHAnsi" w:hAnsiTheme="minorHAnsi" w:cs="Arial"/>
          <w:color w:val="auto"/>
          <w:sz w:val="20"/>
          <w:szCs w:val="20"/>
        </w:rPr>
      </w:pPr>
      <w:r w:rsidRPr="00656F49">
        <w:rPr>
          <w:rFonts w:asciiTheme="minorHAnsi" w:hAnsiTheme="minorHAnsi" w:cs="Arial"/>
          <w:b/>
          <w:bCs/>
          <w:color w:val="auto"/>
          <w:sz w:val="20"/>
          <w:szCs w:val="20"/>
        </w:rPr>
        <w:t xml:space="preserve">Commission de sélection (représentants de l’enseignement supérieur français) </w:t>
      </w:r>
    </w:p>
    <w:p w14:paraId="452FA798"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Lors de l’évaluation des candidatures à la bourse Excellence-Major, les membres de la commission de sélection s’engagent à signer la déclaration d’absence d’intérêts pour l’ensemble des candidatures reçues. Ce document est conservé par l’AEFE pour la durée de la campagne d’évaluation. </w:t>
      </w:r>
    </w:p>
    <w:p w14:paraId="503D4F94"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Dans le cas où un membre de la commission possède un lien avec le candidat présélectionné par l’équipe pédagogique, celui s’engage au déport. Le déport consiste à ne pas prendre, préparer ou donner un avis sur une décision qui relève en temps normal de ses attributions, afin d’éviter un conflit d’intérêts. </w:t>
      </w:r>
    </w:p>
    <w:p w14:paraId="1F95FD5D" w14:textId="77777777" w:rsidR="006A4D4A" w:rsidRPr="00656F49" w:rsidRDefault="006A4D4A" w:rsidP="006A4D4A">
      <w:pPr>
        <w:pStyle w:val="Default"/>
        <w:jc w:val="both"/>
        <w:rPr>
          <w:rFonts w:asciiTheme="minorHAnsi" w:hAnsiTheme="minorHAnsi" w:cs="Arial"/>
          <w:color w:val="auto"/>
          <w:sz w:val="20"/>
          <w:szCs w:val="20"/>
        </w:rPr>
      </w:pPr>
      <w:r w:rsidRPr="00656F49">
        <w:rPr>
          <w:rFonts w:asciiTheme="minorHAnsi" w:hAnsiTheme="minorHAnsi" w:cs="Arial"/>
          <w:color w:val="auto"/>
          <w:sz w:val="20"/>
          <w:szCs w:val="20"/>
        </w:rPr>
        <w:t>L’organisation du déport est en plusieurs étapes</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582593AD" w14:textId="77777777" w:rsidR="006A4D4A" w:rsidRPr="00656F49" w:rsidRDefault="006A4D4A" w:rsidP="006A4D4A">
      <w:pPr>
        <w:pStyle w:val="Default"/>
        <w:numPr>
          <w:ilvl w:val="0"/>
          <w:numId w:val="17"/>
        </w:numPr>
        <w:jc w:val="both"/>
        <w:rPr>
          <w:rFonts w:asciiTheme="minorHAnsi" w:hAnsiTheme="minorHAnsi" w:cs="Arial"/>
          <w:color w:val="auto"/>
          <w:sz w:val="20"/>
          <w:szCs w:val="20"/>
        </w:rPr>
      </w:pPr>
      <w:r w:rsidRPr="00656F49">
        <w:rPr>
          <w:rFonts w:asciiTheme="minorHAnsi" w:hAnsiTheme="minorHAnsi" w:cs="Arial"/>
          <w:color w:val="auto"/>
          <w:sz w:val="20"/>
          <w:szCs w:val="20"/>
        </w:rPr>
        <w:t>Identification de l’objet / de la matière sur lequel se déporter</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349F4B36" w14:textId="77777777" w:rsidR="006A4D4A" w:rsidRPr="00656F49" w:rsidRDefault="006A4D4A" w:rsidP="006A4D4A">
      <w:pPr>
        <w:pStyle w:val="Default"/>
        <w:numPr>
          <w:ilvl w:val="0"/>
          <w:numId w:val="17"/>
        </w:numPr>
        <w:jc w:val="both"/>
        <w:rPr>
          <w:rFonts w:asciiTheme="minorHAnsi" w:hAnsiTheme="minorHAnsi" w:cs="Arial"/>
          <w:color w:val="auto"/>
          <w:sz w:val="20"/>
          <w:szCs w:val="20"/>
        </w:rPr>
      </w:pPr>
      <w:r w:rsidRPr="00656F49">
        <w:rPr>
          <w:rFonts w:asciiTheme="minorHAnsi" w:hAnsiTheme="minorHAnsi" w:cs="Arial"/>
          <w:color w:val="auto"/>
          <w:sz w:val="20"/>
          <w:szCs w:val="20"/>
        </w:rPr>
        <w:t>Organisation de la procédure de déport</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5E1517A7" w14:textId="77777777" w:rsidR="006A4D4A" w:rsidRDefault="006A4D4A" w:rsidP="006A4D4A">
      <w:pPr>
        <w:pStyle w:val="Default"/>
        <w:numPr>
          <w:ilvl w:val="1"/>
          <w:numId w:val="19"/>
        </w:numPr>
        <w:jc w:val="both"/>
        <w:rPr>
          <w:rFonts w:asciiTheme="minorHAnsi" w:hAnsiTheme="minorHAnsi" w:cs="Arial"/>
          <w:color w:val="auto"/>
          <w:sz w:val="20"/>
          <w:szCs w:val="20"/>
        </w:rPr>
      </w:pPr>
      <w:r w:rsidRPr="006A4D4A">
        <w:rPr>
          <w:rFonts w:asciiTheme="minorHAnsi" w:hAnsiTheme="minorHAnsi" w:cs="Arial"/>
          <w:color w:val="auto"/>
          <w:sz w:val="20"/>
          <w:szCs w:val="20"/>
        </w:rPr>
        <w:t>Délégation de la prise de décision et de la signature (aucune instruction ne peut être donnée au délégataire)</w:t>
      </w:r>
      <w:r>
        <w:rPr>
          <w:rFonts w:asciiTheme="minorHAnsi" w:hAnsiTheme="minorHAnsi" w:cs="Arial"/>
          <w:color w:val="auto"/>
          <w:sz w:val="20"/>
          <w:szCs w:val="20"/>
        </w:rPr>
        <w:t> </w:t>
      </w:r>
      <w:r w:rsidRPr="006A4D4A">
        <w:rPr>
          <w:rFonts w:asciiTheme="minorHAnsi" w:hAnsiTheme="minorHAnsi" w:cs="Arial"/>
          <w:color w:val="auto"/>
          <w:sz w:val="20"/>
          <w:szCs w:val="20"/>
        </w:rPr>
        <w:t xml:space="preserve">; </w:t>
      </w:r>
    </w:p>
    <w:p w14:paraId="6A3954FB" w14:textId="77777777" w:rsidR="006A4D4A" w:rsidRPr="006A4D4A" w:rsidRDefault="006A4D4A" w:rsidP="006A4D4A">
      <w:pPr>
        <w:pStyle w:val="Default"/>
        <w:numPr>
          <w:ilvl w:val="1"/>
          <w:numId w:val="19"/>
        </w:numPr>
        <w:jc w:val="both"/>
        <w:rPr>
          <w:rFonts w:asciiTheme="minorHAnsi" w:hAnsiTheme="minorHAnsi" w:cs="Arial"/>
          <w:color w:val="auto"/>
          <w:sz w:val="20"/>
          <w:szCs w:val="20"/>
        </w:rPr>
      </w:pPr>
      <w:r w:rsidRPr="006A4D4A">
        <w:rPr>
          <w:rFonts w:asciiTheme="minorHAnsi" w:hAnsiTheme="minorHAnsi" w:cs="Arial"/>
          <w:color w:val="auto"/>
          <w:sz w:val="20"/>
          <w:szCs w:val="20"/>
        </w:rPr>
        <w:t>Publicité préalable afin de ne pas être informé des éléments relatifs à la décision</w:t>
      </w:r>
      <w:r>
        <w:rPr>
          <w:rFonts w:asciiTheme="minorHAnsi" w:hAnsiTheme="minorHAnsi" w:cs="Arial"/>
          <w:color w:val="auto"/>
          <w:sz w:val="20"/>
          <w:szCs w:val="20"/>
        </w:rPr>
        <w:t> </w:t>
      </w:r>
      <w:r w:rsidRPr="006A4D4A">
        <w:rPr>
          <w:rFonts w:asciiTheme="minorHAnsi" w:hAnsiTheme="minorHAnsi" w:cs="Arial"/>
          <w:color w:val="auto"/>
          <w:sz w:val="20"/>
          <w:szCs w:val="20"/>
        </w:rPr>
        <w:t xml:space="preserve">; </w:t>
      </w:r>
    </w:p>
    <w:p w14:paraId="347E0FEE" w14:textId="77777777" w:rsidR="006A4D4A" w:rsidRPr="00656F49" w:rsidRDefault="006A4D4A" w:rsidP="006A4D4A">
      <w:pPr>
        <w:pStyle w:val="Default"/>
        <w:numPr>
          <w:ilvl w:val="1"/>
          <w:numId w:val="19"/>
        </w:numPr>
        <w:jc w:val="both"/>
        <w:rPr>
          <w:rFonts w:asciiTheme="minorHAnsi" w:hAnsiTheme="minorHAnsi" w:cs="Arial"/>
          <w:color w:val="auto"/>
          <w:sz w:val="20"/>
          <w:szCs w:val="20"/>
        </w:rPr>
      </w:pPr>
      <w:r w:rsidRPr="00656F49">
        <w:rPr>
          <w:rFonts w:asciiTheme="minorHAnsi" w:hAnsiTheme="minorHAnsi" w:cs="Arial"/>
          <w:color w:val="auto"/>
          <w:sz w:val="20"/>
          <w:szCs w:val="20"/>
        </w:rPr>
        <w:t>Ne pas participer aux réunions préparatoires</w:t>
      </w:r>
      <w:r>
        <w:rPr>
          <w:rFonts w:asciiTheme="minorHAnsi" w:hAnsiTheme="minorHAnsi" w:cs="Arial"/>
          <w:color w:val="auto"/>
          <w:sz w:val="20"/>
          <w:szCs w:val="20"/>
        </w:rPr>
        <w:t> </w:t>
      </w:r>
      <w:r w:rsidRPr="00656F49">
        <w:rPr>
          <w:rFonts w:asciiTheme="minorHAnsi" w:hAnsiTheme="minorHAnsi" w:cs="Arial"/>
          <w:color w:val="auto"/>
          <w:sz w:val="20"/>
          <w:szCs w:val="20"/>
        </w:rPr>
        <w:t xml:space="preserve">; </w:t>
      </w:r>
    </w:p>
    <w:p w14:paraId="6335E2C5" w14:textId="77777777" w:rsidR="006A4D4A" w:rsidRDefault="006A4D4A" w:rsidP="006A4D4A">
      <w:pPr>
        <w:pStyle w:val="Default"/>
        <w:numPr>
          <w:ilvl w:val="1"/>
          <w:numId w:val="19"/>
        </w:numPr>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Sortir de la salle au moment de la prise de décision collégiale. </w:t>
      </w:r>
    </w:p>
    <w:p w14:paraId="4652BC1E" w14:textId="77777777" w:rsidR="00656F49" w:rsidRPr="00656F49" w:rsidRDefault="00656F49" w:rsidP="00656F49">
      <w:pPr>
        <w:pStyle w:val="Default"/>
        <w:spacing w:before="120" w:after="120"/>
        <w:jc w:val="both"/>
        <w:rPr>
          <w:rFonts w:asciiTheme="minorHAnsi" w:hAnsiTheme="minorHAnsi"/>
          <w:color w:val="auto"/>
          <w:sz w:val="20"/>
          <w:szCs w:val="20"/>
        </w:rPr>
      </w:pPr>
      <w:r w:rsidRPr="00656F49">
        <w:rPr>
          <w:rFonts w:asciiTheme="minorHAnsi" w:hAnsiTheme="minorHAnsi" w:cs="Arial"/>
          <w:b/>
          <w:bCs/>
          <w:color w:val="auto"/>
          <w:sz w:val="20"/>
          <w:szCs w:val="20"/>
        </w:rPr>
        <w:t xml:space="preserve">3. Gestion des dossiers des lauréats </w:t>
      </w:r>
    </w:p>
    <w:p w14:paraId="133C38DA" w14:textId="77777777" w:rsidR="00656F49" w:rsidRPr="00656F49" w:rsidRDefault="00656F49" w:rsidP="006A4D4A">
      <w:pPr>
        <w:pStyle w:val="Default"/>
        <w:spacing w:before="120" w:after="120"/>
        <w:jc w:val="both"/>
        <w:rPr>
          <w:rFonts w:asciiTheme="minorHAnsi" w:hAnsiTheme="minorHAnsi" w:cs="Arial"/>
          <w:color w:val="auto"/>
          <w:sz w:val="20"/>
          <w:szCs w:val="20"/>
        </w:rPr>
      </w:pPr>
      <w:r w:rsidRPr="00656F49">
        <w:rPr>
          <w:rFonts w:asciiTheme="minorHAnsi" w:hAnsiTheme="minorHAnsi" w:cs="Arial"/>
          <w:color w:val="auto"/>
          <w:sz w:val="20"/>
          <w:szCs w:val="20"/>
        </w:rPr>
        <w:t xml:space="preserve">Conformément aux dispositions de la convention portant mandat de gestion du programme Excellence-Major, l’AEFE est habilitée à effectuer un contrôle sur pièce ou sur place de toutes les pièces justificatives des dépenses. </w:t>
      </w:r>
    </w:p>
    <w:p w14:paraId="754DE4FE" w14:textId="085DC6DC" w:rsidR="00771322" w:rsidRPr="00656F49" w:rsidRDefault="00656F49" w:rsidP="00656F49">
      <w:pPr>
        <w:jc w:val="both"/>
        <w:rPr>
          <w:rFonts w:asciiTheme="minorHAnsi" w:hAnsiTheme="minorHAnsi"/>
        </w:rPr>
      </w:pPr>
      <w:r w:rsidRPr="00656F49">
        <w:rPr>
          <w:rFonts w:asciiTheme="minorHAnsi" w:hAnsiTheme="minorHAnsi" w:cs="Arial"/>
        </w:rPr>
        <w:t>L’AEFE s’assure de la bonne allocation des prestations en vérifiant mensuellement les états comptables des dépenses transmis par Campus France.</w:t>
      </w:r>
    </w:p>
    <w:sectPr w:rsidR="00771322" w:rsidRPr="00656F49" w:rsidSect="00523158">
      <w:footerReference w:type="default" r:id="rId8"/>
      <w:headerReference w:type="first" r:id="rId9"/>
      <w:footerReference w:type="first" r:id="rId10"/>
      <w:type w:val="continuous"/>
      <w:pgSz w:w="11906" w:h="16838" w:code="9"/>
      <w:pgMar w:top="936" w:right="964" w:bottom="567" w:left="96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82810" w14:textId="77777777" w:rsidR="00BC190A" w:rsidRDefault="00BC190A" w:rsidP="00F51D4C">
      <w:r>
        <w:separator/>
      </w:r>
    </w:p>
  </w:endnote>
  <w:endnote w:type="continuationSeparator" w:id="0">
    <w:p w14:paraId="18812FDF" w14:textId="77777777" w:rsidR="00BC190A" w:rsidRDefault="00BC190A"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oboto Ligh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06DC8" w14:textId="77777777" w:rsidR="00DA3031" w:rsidRDefault="00DA3031" w:rsidP="00086521">
    <w:pPr>
      <w:pStyle w:val="Pieddepage"/>
      <w:jc w:val="center"/>
      <w:rPr>
        <w:rFonts w:ascii="Arial" w:hAnsi="Arial" w:cs="Arial"/>
        <w:b/>
        <w:color w:val="808080" w:themeColor="background1" w:themeShade="80"/>
        <w:sz w:val="16"/>
        <w:szCs w:val="16"/>
      </w:rPr>
    </w:pPr>
  </w:p>
  <w:p w14:paraId="252C97E0" w14:textId="77777777" w:rsidR="00086521" w:rsidRPr="001F36C0" w:rsidRDefault="00086521" w:rsidP="00086521">
    <w:pPr>
      <w:pStyle w:val="Pieddepage"/>
      <w:jc w:val="center"/>
      <w:rPr>
        <w:rFonts w:ascii="Arial" w:hAnsi="Arial" w:cs="Arial"/>
        <w:b/>
        <w:color w:val="808080" w:themeColor="background1" w:themeShade="80"/>
        <w:sz w:val="16"/>
        <w:szCs w:val="16"/>
      </w:rPr>
    </w:pPr>
    <w:r w:rsidRPr="001F36C0">
      <w:rPr>
        <w:rFonts w:ascii="Arial" w:hAnsi="Arial" w:cs="Arial"/>
        <w:b/>
        <w:color w:val="808080" w:themeColor="background1" w:themeShade="80"/>
        <w:sz w:val="16"/>
        <w:szCs w:val="16"/>
      </w:rPr>
      <w:t>AGENCE POUR L’ENSEIGNEMENT FRANÇAIS À L’ÉTRANGER</w:t>
    </w:r>
  </w:p>
  <w:p w14:paraId="3ACB2E16" w14:textId="7BAE9C13" w:rsidR="00086521" w:rsidRPr="001F36C0" w:rsidRDefault="00086521" w:rsidP="00086521">
    <w:pPr>
      <w:pStyle w:val="Pieddepage"/>
      <w:jc w:val="center"/>
      <w:rPr>
        <w:rFonts w:ascii="Arial" w:hAnsi="Arial" w:cs="Arial"/>
        <w:color w:val="808080" w:themeColor="background1" w:themeShade="80"/>
        <w:sz w:val="16"/>
        <w:szCs w:val="16"/>
      </w:rPr>
    </w:pPr>
    <w:r w:rsidRPr="001F36C0">
      <w:rPr>
        <w:rFonts w:ascii="Arial" w:hAnsi="Arial" w:cs="Arial"/>
        <w:color w:val="808080" w:themeColor="background1" w:themeShade="80"/>
        <w:sz w:val="16"/>
        <w:szCs w:val="16"/>
      </w:rPr>
      <w:t xml:space="preserve">23, place de </w:t>
    </w:r>
    <w:proofErr w:type="gramStart"/>
    <w:r w:rsidRPr="001F36C0">
      <w:rPr>
        <w:rFonts w:ascii="Arial" w:hAnsi="Arial" w:cs="Arial"/>
        <w:color w:val="808080" w:themeColor="background1" w:themeShade="80"/>
        <w:sz w:val="16"/>
        <w:szCs w:val="16"/>
      </w:rPr>
      <w:t>Catalogne  |</w:t>
    </w:r>
    <w:proofErr w:type="gramEnd"/>
    <w:r w:rsidRPr="001F36C0">
      <w:rPr>
        <w:rFonts w:ascii="Arial" w:hAnsi="Arial" w:cs="Arial"/>
        <w:color w:val="808080" w:themeColor="background1" w:themeShade="80"/>
        <w:sz w:val="16"/>
        <w:szCs w:val="16"/>
      </w:rPr>
      <w:t xml:space="preserve">  75014 Paris  |  Tél. : 33 (0)1 53 69 30 90  |  www.aefe.fr</w:t>
    </w:r>
  </w:p>
  <w:p w14:paraId="7759D480" w14:textId="74A69044" w:rsidR="00086521" w:rsidRDefault="00086521" w:rsidP="00086521">
    <w:pPr>
      <w:pStyle w:val="Pieddepage"/>
      <w:jc w:val="center"/>
      <w:rPr>
        <w:rFonts w:ascii="Arial" w:hAnsi="Arial" w:cs="Arial"/>
        <w:color w:val="808080" w:themeColor="background1" w:themeShade="80"/>
        <w:sz w:val="16"/>
        <w:szCs w:val="16"/>
      </w:rPr>
    </w:pPr>
    <w:r w:rsidRPr="001F36C0">
      <w:rPr>
        <w:rFonts w:ascii="Arial" w:hAnsi="Arial" w:cs="Arial"/>
        <w:color w:val="808080" w:themeColor="background1" w:themeShade="80"/>
        <w:sz w:val="16"/>
        <w:szCs w:val="16"/>
      </w:rPr>
      <w:t xml:space="preserve">1, allée </w:t>
    </w:r>
    <w:proofErr w:type="spellStart"/>
    <w:r w:rsidRPr="001F36C0">
      <w:rPr>
        <w:rFonts w:ascii="Arial" w:hAnsi="Arial" w:cs="Arial"/>
        <w:color w:val="808080" w:themeColor="background1" w:themeShade="80"/>
        <w:sz w:val="16"/>
        <w:szCs w:val="16"/>
      </w:rPr>
      <w:t>Baco</w:t>
    </w:r>
    <w:proofErr w:type="spellEnd"/>
    <w:r w:rsidRPr="001F36C0">
      <w:rPr>
        <w:rFonts w:ascii="Arial" w:hAnsi="Arial" w:cs="Arial"/>
        <w:color w:val="808080" w:themeColor="background1" w:themeShade="80"/>
        <w:sz w:val="16"/>
        <w:szCs w:val="16"/>
      </w:rPr>
      <w:t xml:space="preserve"> BP </w:t>
    </w:r>
    <w:proofErr w:type="gramStart"/>
    <w:r w:rsidRPr="001F36C0">
      <w:rPr>
        <w:rFonts w:ascii="Arial" w:hAnsi="Arial" w:cs="Arial"/>
        <w:color w:val="808080" w:themeColor="background1" w:themeShade="80"/>
        <w:sz w:val="16"/>
        <w:szCs w:val="16"/>
      </w:rPr>
      <w:t>21509  |</w:t>
    </w:r>
    <w:proofErr w:type="gramEnd"/>
    <w:r w:rsidRPr="001F36C0">
      <w:rPr>
        <w:rFonts w:ascii="Arial" w:hAnsi="Arial" w:cs="Arial"/>
        <w:color w:val="808080" w:themeColor="background1" w:themeShade="80"/>
        <w:sz w:val="16"/>
        <w:szCs w:val="16"/>
      </w:rPr>
      <w:t xml:space="preserve">  44015 Nantes  |  Tél. : 33 (0)2 51 77 29 03  |  </w:t>
    </w:r>
    <w:hyperlink r:id="rId1" w:history="1">
      <w:r w:rsidR="00DA3031" w:rsidRPr="00DA3031">
        <w:rPr>
          <w:rStyle w:val="Lienhypertexte"/>
          <w:rFonts w:ascii="Arial" w:hAnsi="Arial" w:cs="Arial"/>
          <w:color w:val="808080" w:themeColor="background1" w:themeShade="80"/>
          <w:sz w:val="16"/>
          <w:szCs w:val="16"/>
          <w:u w:val="none"/>
        </w:rPr>
        <w:t>www.aefe.fr</w:t>
      </w:r>
    </w:hyperlink>
  </w:p>
  <w:sdt>
    <w:sdtPr>
      <w:id w:val="-860661162"/>
      <w:docPartObj>
        <w:docPartGallery w:val="Page Numbers (Bottom of Page)"/>
        <w:docPartUnique/>
      </w:docPartObj>
    </w:sdtPr>
    <w:sdtEndPr>
      <w:rPr>
        <w:rFonts w:ascii="Arial" w:hAnsi="Arial" w:cs="Arial"/>
        <w:b/>
        <w:color w:val="808080" w:themeColor="background1" w:themeShade="80"/>
        <w:sz w:val="16"/>
        <w:szCs w:val="16"/>
      </w:rPr>
    </w:sdtEndPr>
    <w:sdtContent>
      <w:p w14:paraId="3D9B8829" w14:textId="77777777" w:rsidR="00DA3031" w:rsidRPr="00086521" w:rsidRDefault="00DA3031" w:rsidP="00DA3031">
        <w:pPr>
          <w:pStyle w:val="Pieddepage"/>
          <w:jc w:val="right"/>
          <w:rPr>
            <w:rFonts w:ascii="Arial" w:hAnsi="Arial" w:cs="Arial"/>
            <w:b/>
            <w:color w:val="808080" w:themeColor="background1" w:themeShade="80"/>
            <w:sz w:val="16"/>
            <w:szCs w:val="16"/>
          </w:rPr>
        </w:pPr>
        <w:r w:rsidRPr="00086521">
          <w:rPr>
            <w:rFonts w:ascii="Arial" w:hAnsi="Arial" w:cs="Arial"/>
            <w:b/>
            <w:color w:val="808080" w:themeColor="background1" w:themeShade="80"/>
            <w:sz w:val="16"/>
            <w:szCs w:val="16"/>
          </w:rPr>
          <w:fldChar w:fldCharType="begin"/>
        </w:r>
        <w:r w:rsidRPr="00086521">
          <w:rPr>
            <w:rFonts w:ascii="Arial" w:hAnsi="Arial" w:cs="Arial"/>
            <w:b/>
            <w:color w:val="808080" w:themeColor="background1" w:themeShade="80"/>
            <w:sz w:val="16"/>
            <w:szCs w:val="16"/>
          </w:rPr>
          <w:instrText xml:space="preserve"> PAGE </w:instrText>
        </w:r>
        <w:r w:rsidRPr="00086521">
          <w:rPr>
            <w:rFonts w:ascii="Arial" w:hAnsi="Arial" w:cs="Arial"/>
            <w:b/>
            <w:color w:val="808080" w:themeColor="background1" w:themeShade="80"/>
            <w:sz w:val="16"/>
            <w:szCs w:val="16"/>
          </w:rPr>
          <w:fldChar w:fldCharType="separate"/>
        </w:r>
        <w:r w:rsidR="00DE0251">
          <w:rPr>
            <w:rFonts w:ascii="Arial" w:hAnsi="Arial" w:cs="Arial"/>
            <w:b/>
            <w:noProof/>
            <w:color w:val="808080" w:themeColor="background1" w:themeShade="80"/>
            <w:sz w:val="16"/>
            <w:szCs w:val="16"/>
          </w:rPr>
          <w:t>4</w:t>
        </w:r>
        <w:r w:rsidRPr="00086521">
          <w:rPr>
            <w:rFonts w:ascii="Arial" w:hAnsi="Arial" w:cs="Arial"/>
            <w:b/>
            <w:color w:val="808080" w:themeColor="background1" w:themeShade="80"/>
            <w:sz w:val="16"/>
            <w:szCs w:val="16"/>
          </w:rPr>
          <w:fldChar w:fldCharType="end"/>
        </w:r>
        <w:r w:rsidRPr="00086521">
          <w:rPr>
            <w:rFonts w:ascii="Arial" w:hAnsi="Arial" w:cs="Arial"/>
            <w:b/>
            <w:color w:val="808080" w:themeColor="background1" w:themeShade="80"/>
            <w:sz w:val="16"/>
            <w:szCs w:val="16"/>
          </w:rPr>
          <w:t>/</w:t>
        </w:r>
        <w:r w:rsidRPr="00086521">
          <w:rPr>
            <w:rFonts w:ascii="Arial" w:hAnsi="Arial" w:cs="Arial"/>
            <w:b/>
            <w:color w:val="808080" w:themeColor="background1" w:themeShade="80"/>
            <w:sz w:val="16"/>
            <w:szCs w:val="16"/>
          </w:rPr>
          <w:fldChar w:fldCharType="begin"/>
        </w:r>
        <w:r w:rsidRPr="00086521">
          <w:rPr>
            <w:rFonts w:ascii="Arial" w:hAnsi="Arial" w:cs="Arial"/>
            <w:b/>
            <w:color w:val="808080" w:themeColor="background1" w:themeShade="80"/>
            <w:sz w:val="16"/>
            <w:szCs w:val="16"/>
          </w:rPr>
          <w:instrText xml:space="preserve"> NUMPAGES </w:instrText>
        </w:r>
        <w:r w:rsidRPr="00086521">
          <w:rPr>
            <w:rFonts w:ascii="Arial" w:hAnsi="Arial" w:cs="Arial"/>
            <w:b/>
            <w:color w:val="808080" w:themeColor="background1" w:themeShade="80"/>
            <w:sz w:val="16"/>
            <w:szCs w:val="16"/>
          </w:rPr>
          <w:fldChar w:fldCharType="separate"/>
        </w:r>
        <w:r w:rsidR="00DE0251">
          <w:rPr>
            <w:rFonts w:ascii="Arial" w:hAnsi="Arial" w:cs="Arial"/>
            <w:b/>
            <w:noProof/>
            <w:color w:val="808080" w:themeColor="background1" w:themeShade="80"/>
            <w:sz w:val="16"/>
            <w:szCs w:val="16"/>
          </w:rPr>
          <w:t>4</w:t>
        </w:r>
        <w:r w:rsidRPr="00086521">
          <w:rPr>
            <w:rFonts w:ascii="Arial" w:hAnsi="Arial" w:cs="Arial"/>
            <w:b/>
            <w:color w:val="808080" w:themeColor="background1" w:themeShade="80"/>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AB24" w14:textId="77777777" w:rsidR="00086521" w:rsidRDefault="00086521" w:rsidP="0008458C">
    <w:pPr>
      <w:pStyle w:val="Pieddepage"/>
      <w:jc w:val="center"/>
      <w:rPr>
        <w:rFonts w:ascii="Arial" w:hAnsi="Arial" w:cs="Arial"/>
        <w:b/>
        <w:color w:val="808080" w:themeColor="background1" w:themeShade="80"/>
        <w:sz w:val="16"/>
        <w:szCs w:val="16"/>
      </w:rPr>
    </w:pPr>
  </w:p>
  <w:p w14:paraId="3097D7D9" w14:textId="77777777" w:rsidR="0008458C" w:rsidRPr="001F36C0" w:rsidRDefault="0008458C" w:rsidP="0008458C">
    <w:pPr>
      <w:pStyle w:val="Pieddepage"/>
      <w:jc w:val="center"/>
      <w:rPr>
        <w:rFonts w:ascii="Arial" w:hAnsi="Arial" w:cs="Arial"/>
        <w:b/>
        <w:color w:val="808080" w:themeColor="background1" w:themeShade="80"/>
        <w:sz w:val="16"/>
        <w:szCs w:val="16"/>
      </w:rPr>
    </w:pPr>
    <w:r w:rsidRPr="001F36C0">
      <w:rPr>
        <w:rFonts w:ascii="Arial" w:hAnsi="Arial" w:cs="Arial"/>
        <w:b/>
        <w:color w:val="808080" w:themeColor="background1" w:themeShade="80"/>
        <w:sz w:val="16"/>
        <w:szCs w:val="16"/>
      </w:rPr>
      <w:t>AGENCE POUR L’ENSEIGNEMENT FRANÇAIS À L’ÉTRANGER</w:t>
    </w:r>
  </w:p>
  <w:p w14:paraId="4C40619E" w14:textId="151BB31E" w:rsidR="0008458C" w:rsidRPr="001F36C0" w:rsidRDefault="0008458C" w:rsidP="0008458C">
    <w:pPr>
      <w:pStyle w:val="Pieddepage"/>
      <w:jc w:val="center"/>
      <w:rPr>
        <w:rFonts w:ascii="Arial" w:hAnsi="Arial" w:cs="Arial"/>
        <w:color w:val="808080" w:themeColor="background1" w:themeShade="80"/>
        <w:sz w:val="16"/>
        <w:szCs w:val="16"/>
      </w:rPr>
    </w:pPr>
    <w:r w:rsidRPr="001F36C0">
      <w:rPr>
        <w:rFonts w:ascii="Arial" w:hAnsi="Arial" w:cs="Arial"/>
        <w:color w:val="808080" w:themeColor="background1" w:themeShade="80"/>
        <w:sz w:val="16"/>
        <w:szCs w:val="16"/>
      </w:rPr>
      <w:t xml:space="preserve">23, place de </w:t>
    </w:r>
    <w:proofErr w:type="gramStart"/>
    <w:r w:rsidRPr="001F36C0">
      <w:rPr>
        <w:rFonts w:ascii="Arial" w:hAnsi="Arial" w:cs="Arial"/>
        <w:color w:val="808080" w:themeColor="background1" w:themeShade="80"/>
        <w:sz w:val="16"/>
        <w:szCs w:val="16"/>
      </w:rPr>
      <w:t>Catalogne  |</w:t>
    </w:r>
    <w:proofErr w:type="gramEnd"/>
    <w:r w:rsidRPr="001F36C0">
      <w:rPr>
        <w:rFonts w:ascii="Arial" w:hAnsi="Arial" w:cs="Arial"/>
        <w:color w:val="808080" w:themeColor="background1" w:themeShade="80"/>
        <w:sz w:val="16"/>
        <w:szCs w:val="16"/>
      </w:rPr>
      <w:t xml:space="preserve">  75014 Paris  |  Tél. : 33 (0)1 53 69 30 90  |  www.aefe.fr</w:t>
    </w:r>
  </w:p>
  <w:p w14:paraId="5CEDD6AB" w14:textId="62B34C7B" w:rsidR="0008458C" w:rsidRDefault="0008458C" w:rsidP="0008458C">
    <w:pPr>
      <w:pStyle w:val="Pieddepage"/>
      <w:jc w:val="center"/>
      <w:rPr>
        <w:rFonts w:ascii="Arial" w:hAnsi="Arial" w:cs="Arial"/>
        <w:color w:val="808080" w:themeColor="background1" w:themeShade="80"/>
        <w:sz w:val="16"/>
        <w:szCs w:val="16"/>
      </w:rPr>
    </w:pPr>
    <w:r w:rsidRPr="001F36C0">
      <w:rPr>
        <w:rFonts w:ascii="Arial" w:hAnsi="Arial" w:cs="Arial"/>
        <w:color w:val="808080" w:themeColor="background1" w:themeShade="80"/>
        <w:sz w:val="16"/>
        <w:szCs w:val="16"/>
      </w:rPr>
      <w:t xml:space="preserve">1, allée </w:t>
    </w:r>
    <w:proofErr w:type="spellStart"/>
    <w:r w:rsidRPr="001F36C0">
      <w:rPr>
        <w:rFonts w:ascii="Arial" w:hAnsi="Arial" w:cs="Arial"/>
        <w:color w:val="808080" w:themeColor="background1" w:themeShade="80"/>
        <w:sz w:val="16"/>
        <w:szCs w:val="16"/>
      </w:rPr>
      <w:t>Baco</w:t>
    </w:r>
    <w:proofErr w:type="spellEnd"/>
    <w:r w:rsidRPr="001F36C0">
      <w:rPr>
        <w:rFonts w:ascii="Arial" w:hAnsi="Arial" w:cs="Arial"/>
        <w:color w:val="808080" w:themeColor="background1" w:themeShade="80"/>
        <w:sz w:val="16"/>
        <w:szCs w:val="16"/>
      </w:rPr>
      <w:t xml:space="preserve"> BP </w:t>
    </w:r>
    <w:proofErr w:type="gramStart"/>
    <w:r w:rsidRPr="001F36C0">
      <w:rPr>
        <w:rFonts w:ascii="Arial" w:hAnsi="Arial" w:cs="Arial"/>
        <w:color w:val="808080" w:themeColor="background1" w:themeShade="80"/>
        <w:sz w:val="16"/>
        <w:szCs w:val="16"/>
      </w:rPr>
      <w:t>21509  |</w:t>
    </w:r>
    <w:proofErr w:type="gramEnd"/>
    <w:r w:rsidRPr="001F36C0">
      <w:rPr>
        <w:rFonts w:ascii="Arial" w:hAnsi="Arial" w:cs="Arial"/>
        <w:color w:val="808080" w:themeColor="background1" w:themeShade="80"/>
        <w:sz w:val="16"/>
        <w:szCs w:val="16"/>
      </w:rPr>
      <w:t xml:space="preserve">  44015 Nantes  |  Tél. : 33 (0)2 51 77 29 03  |  </w:t>
    </w:r>
    <w:hyperlink r:id="rId1" w:history="1">
      <w:r w:rsidR="00086521" w:rsidRPr="00086521">
        <w:rPr>
          <w:rFonts w:ascii="Arial" w:hAnsi="Arial" w:cs="Arial"/>
          <w:color w:val="808080" w:themeColor="background1" w:themeShade="80"/>
          <w:sz w:val="16"/>
          <w:szCs w:val="16"/>
        </w:rPr>
        <w:t>www.aefe.fr</w:t>
      </w:r>
    </w:hyperlink>
  </w:p>
  <w:sdt>
    <w:sdtPr>
      <w:id w:val="870660847"/>
      <w:docPartObj>
        <w:docPartGallery w:val="Page Numbers (Bottom of Page)"/>
        <w:docPartUnique/>
      </w:docPartObj>
    </w:sdtPr>
    <w:sdtEndPr>
      <w:rPr>
        <w:rFonts w:ascii="Arial" w:hAnsi="Arial" w:cs="Arial"/>
        <w:b/>
        <w:color w:val="808080" w:themeColor="background1" w:themeShade="80"/>
        <w:sz w:val="16"/>
        <w:szCs w:val="16"/>
      </w:rPr>
    </w:sdtEndPr>
    <w:sdtContent>
      <w:p w14:paraId="6C86E720" w14:textId="77777777" w:rsidR="00086521" w:rsidRPr="00086521" w:rsidRDefault="00086521" w:rsidP="00086521">
        <w:pPr>
          <w:pStyle w:val="Pieddepage"/>
          <w:jc w:val="right"/>
          <w:rPr>
            <w:rFonts w:ascii="Arial" w:hAnsi="Arial" w:cs="Arial"/>
            <w:b/>
            <w:color w:val="808080" w:themeColor="background1" w:themeShade="80"/>
            <w:sz w:val="16"/>
            <w:szCs w:val="16"/>
          </w:rPr>
        </w:pPr>
        <w:r w:rsidRPr="00086521">
          <w:rPr>
            <w:rFonts w:ascii="Arial" w:hAnsi="Arial" w:cs="Arial"/>
            <w:b/>
            <w:color w:val="808080" w:themeColor="background1" w:themeShade="80"/>
            <w:sz w:val="16"/>
            <w:szCs w:val="16"/>
          </w:rPr>
          <w:fldChar w:fldCharType="begin"/>
        </w:r>
        <w:r w:rsidRPr="00086521">
          <w:rPr>
            <w:rFonts w:ascii="Arial" w:hAnsi="Arial" w:cs="Arial"/>
            <w:b/>
            <w:color w:val="808080" w:themeColor="background1" w:themeShade="80"/>
            <w:sz w:val="16"/>
            <w:szCs w:val="16"/>
          </w:rPr>
          <w:instrText xml:space="preserve"> PAGE </w:instrText>
        </w:r>
        <w:r w:rsidRPr="00086521">
          <w:rPr>
            <w:rFonts w:ascii="Arial" w:hAnsi="Arial" w:cs="Arial"/>
            <w:b/>
            <w:color w:val="808080" w:themeColor="background1" w:themeShade="80"/>
            <w:sz w:val="16"/>
            <w:szCs w:val="16"/>
          </w:rPr>
          <w:fldChar w:fldCharType="separate"/>
        </w:r>
        <w:r w:rsidR="00DE0251">
          <w:rPr>
            <w:rFonts w:ascii="Arial" w:hAnsi="Arial" w:cs="Arial"/>
            <w:b/>
            <w:noProof/>
            <w:color w:val="808080" w:themeColor="background1" w:themeShade="80"/>
            <w:sz w:val="16"/>
            <w:szCs w:val="16"/>
          </w:rPr>
          <w:t>1</w:t>
        </w:r>
        <w:r w:rsidRPr="00086521">
          <w:rPr>
            <w:rFonts w:ascii="Arial" w:hAnsi="Arial" w:cs="Arial"/>
            <w:b/>
            <w:color w:val="808080" w:themeColor="background1" w:themeShade="80"/>
            <w:sz w:val="16"/>
            <w:szCs w:val="16"/>
          </w:rPr>
          <w:fldChar w:fldCharType="end"/>
        </w:r>
        <w:r w:rsidRPr="00086521">
          <w:rPr>
            <w:rFonts w:ascii="Arial" w:hAnsi="Arial" w:cs="Arial"/>
            <w:b/>
            <w:color w:val="808080" w:themeColor="background1" w:themeShade="80"/>
            <w:sz w:val="16"/>
            <w:szCs w:val="16"/>
          </w:rPr>
          <w:t>/</w:t>
        </w:r>
        <w:r w:rsidRPr="00086521">
          <w:rPr>
            <w:rFonts w:ascii="Arial" w:hAnsi="Arial" w:cs="Arial"/>
            <w:b/>
            <w:color w:val="808080" w:themeColor="background1" w:themeShade="80"/>
            <w:sz w:val="16"/>
            <w:szCs w:val="16"/>
          </w:rPr>
          <w:fldChar w:fldCharType="begin"/>
        </w:r>
        <w:r w:rsidRPr="00086521">
          <w:rPr>
            <w:rFonts w:ascii="Arial" w:hAnsi="Arial" w:cs="Arial"/>
            <w:b/>
            <w:color w:val="808080" w:themeColor="background1" w:themeShade="80"/>
            <w:sz w:val="16"/>
            <w:szCs w:val="16"/>
          </w:rPr>
          <w:instrText xml:space="preserve"> NUMPAGES </w:instrText>
        </w:r>
        <w:r w:rsidRPr="00086521">
          <w:rPr>
            <w:rFonts w:ascii="Arial" w:hAnsi="Arial" w:cs="Arial"/>
            <w:b/>
            <w:color w:val="808080" w:themeColor="background1" w:themeShade="80"/>
            <w:sz w:val="16"/>
            <w:szCs w:val="16"/>
          </w:rPr>
          <w:fldChar w:fldCharType="separate"/>
        </w:r>
        <w:r w:rsidR="00DE0251">
          <w:rPr>
            <w:rFonts w:ascii="Arial" w:hAnsi="Arial" w:cs="Arial"/>
            <w:b/>
            <w:noProof/>
            <w:color w:val="808080" w:themeColor="background1" w:themeShade="80"/>
            <w:sz w:val="16"/>
            <w:szCs w:val="16"/>
          </w:rPr>
          <w:t>4</w:t>
        </w:r>
        <w:r w:rsidRPr="00086521">
          <w:rPr>
            <w:rFonts w:ascii="Arial" w:hAnsi="Arial" w:cs="Arial"/>
            <w:b/>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A33D3" w14:textId="77777777" w:rsidR="00BC190A" w:rsidRDefault="00BC190A" w:rsidP="00F51D4C">
      <w:r>
        <w:separator/>
      </w:r>
    </w:p>
  </w:footnote>
  <w:footnote w:type="continuationSeparator" w:id="0">
    <w:p w14:paraId="47712E18" w14:textId="77777777" w:rsidR="00BC190A" w:rsidRDefault="00BC190A" w:rsidP="00F5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6B08" w14:textId="77777777" w:rsidR="00156327" w:rsidRDefault="00156327">
    <w:pPr>
      <w:pStyle w:val="En-tte"/>
    </w:pPr>
    <w:r>
      <w:rPr>
        <w:noProof/>
        <w:lang w:eastAsia="fr-FR"/>
      </w:rPr>
      <w:drawing>
        <wp:anchor distT="0" distB="0" distL="114300" distR="114300" simplePos="0" relativeHeight="251658240" behindDoc="1" locked="0" layoutInCell="1" allowOverlap="1" wp14:anchorId="299072CC" wp14:editId="2590B56E">
          <wp:simplePos x="0" y="0"/>
          <wp:positionH relativeFrom="page">
            <wp:posOffset>354330</wp:posOffset>
          </wp:positionH>
          <wp:positionV relativeFrom="page">
            <wp:posOffset>354330</wp:posOffset>
          </wp:positionV>
          <wp:extent cx="1799590" cy="179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p>
  <w:p w14:paraId="1A88BCFE" w14:textId="32CFFAC5" w:rsidR="00156327" w:rsidRDefault="00355933">
    <w:pPr>
      <w:pStyle w:val="En-tte"/>
    </w:pPr>
    <w:r>
      <w:rPr>
        <w:rFonts w:ascii="Roboto Light" w:hAnsi="Roboto Light"/>
        <w:noProof/>
        <w:sz w:val="70"/>
        <w:szCs w:val="70"/>
        <w:lang w:eastAsia="fr-FR"/>
      </w:rPr>
      <w:drawing>
        <wp:anchor distT="0" distB="0" distL="114300" distR="114300" simplePos="0" relativeHeight="251659264" behindDoc="0" locked="0" layoutInCell="1" allowOverlap="1" wp14:anchorId="370350FC" wp14:editId="08F4E37A">
          <wp:simplePos x="0" y="0"/>
          <wp:positionH relativeFrom="column">
            <wp:posOffset>4924425</wp:posOffset>
          </wp:positionH>
          <wp:positionV relativeFrom="page">
            <wp:posOffset>579755</wp:posOffset>
          </wp:positionV>
          <wp:extent cx="1157041" cy="912260"/>
          <wp:effectExtent l="0" t="0" r="508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fe-Logo.jpg"/>
                  <pic:cNvPicPr/>
                </pic:nvPicPr>
                <pic:blipFill>
                  <a:blip r:embed="rId2">
                    <a:extLst>
                      <a:ext uri="{28A0092B-C50C-407E-A947-70E740481C1C}">
                        <a14:useLocalDpi xmlns:a14="http://schemas.microsoft.com/office/drawing/2010/main" val="0"/>
                      </a:ext>
                    </a:extLst>
                  </a:blip>
                  <a:stretch>
                    <a:fillRect/>
                  </a:stretch>
                </pic:blipFill>
                <pic:spPr>
                  <a:xfrm>
                    <a:off x="0" y="0"/>
                    <a:ext cx="1157041" cy="912260"/>
                  </a:xfrm>
                  <a:prstGeom prst="rect">
                    <a:avLst/>
                  </a:prstGeom>
                </pic:spPr>
              </pic:pic>
            </a:graphicData>
          </a:graphic>
          <wp14:sizeRelH relativeFrom="page">
            <wp14:pctWidth>0</wp14:pctWidth>
          </wp14:sizeRelH>
          <wp14:sizeRelV relativeFrom="page">
            <wp14:pctHeight>0</wp14:pctHeight>
          </wp14:sizeRelV>
        </wp:anchor>
      </w:drawing>
    </w:r>
  </w:p>
  <w:p w14:paraId="0AC720C3" w14:textId="144EEC67" w:rsidR="00156327" w:rsidRDefault="00156327">
    <w:pPr>
      <w:pStyle w:val="En-tte"/>
    </w:pPr>
  </w:p>
  <w:p w14:paraId="14408D11" w14:textId="78FE66FC" w:rsidR="00156327" w:rsidRDefault="00156327">
    <w:pPr>
      <w:pStyle w:val="En-tte"/>
    </w:pPr>
  </w:p>
  <w:p w14:paraId="0B708FCF" w14:textId="77777777" w:rsidR="00156327" w:rsidRDefault="00156327">
    <w:pPr>
      <w:pStyle w:val="En-tte"/>
    </w:pPr>
  </w:p>
  <w:p w14:paraId="7849A860" w14:textId="77777777" w:rsidR="00156327" w:rsidRDefault="00156327">
    <w:pPr>
      <w:pStyle w:val="En-tte"/>
    </w:pPr>
  </w:p>
  <w:p w14:paraId="3CCD6336" w14:textId="77777777" w:rsidR="00156327" w:rsidRDefault="00156327">
    <w:pPr>
      <w:pStyle w:val="En-tte"/>
    </w:pPr>
  </w:p>
  <w:p w14:paraId="2E63DDAB" w14:textId="77777777" w:rsidR="00156327" w:rsidRDefault="00156327">
    <w:pPr>
      <w:pStyle w:val="En-tte"/>
    </w:pPr>
  </w:p>
  <w:p w14:paraId="483BB4CC" w14:textId="77777777" w:rsidR="00156327" w:rsidRDefault="00156327">
    <w:pPr>
      <w:pStyle w:val="En-tte"/>
    </w:pPr>
  </w:p>
  <w:p w14:paraId="3593E17C" w14:textId="77777777" w:rsidR="00156327" w:rsidRDefault="00156327" w:rsidP="00D529B8">
    <w:pPr>
      <w:pStyle w:val="En-tte"/>
      <w:spacing w:line="3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90F52"/>
    <w:multiLevelType w:val="hybridMultilevel"/>
    <w:tmpl w:val="EC923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25727A"/>
    <w:multiLevelType w:val="hybridMultilevel"/>
    <w:tmpl w:val="68ACFA8A"/>
    <w:lvl w:ilvl="0" w:tplc="8B000836">
      <w:start w:val="5"/>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5D234C8C"/>
    <w:multiLevelType w:val="hybridMultilevel"/>
    <w:tmpl w:val="C7024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2C1E93"/>
    <w:multiLevelType w:val="hybridMultilevel"/>
    <w:tmpl w:val="654A65C6"/>
    <w:lvl w:ilvl="0" w:tplc="040C0001">
      <w:start w:val="1"/>
      <w:numFmt w:val="bullet"/>
      <w:lvlText w:val=""/>
      <w:lvlJc w:val="left"/>
      <w:pPr>
        <w:ind w:left="1068" w:hanging="360"/>
      </w:pPr>
      <w:rPr>
        <w:rFonts w:ascii="Symbol" w:hAnsi="Symbol" w:hint="default"/>
      </w:rPr>
    </w:lvl>
    <w:lvl w:ilvl="1" w:tplc="E3B64F48">
      <w:start w:val="5"/>
      <w:numFmt w:val="bullet"/>
      <w:lvlText w:val="·"/>
      <w:lvlJc w:val="left"/>
      <w:pPr>
        <w:ind w:left="1788" w:hanging="360"/>
      </w:pPr>
      <w:rPr>
        <w:rFonts w:ascii="Marianne" w:eastAsiaTheme="minorHAnsi" w:hAnsi="Marianne"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4433ACA"/>
    <w:multiLevelType w:val="hybridMultilevel"/>
    <w:tmpl w:val="1D720C4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8"/>
  </w:num>
  <w:num w:numId="14">
    <w:abstractNumId w:val="11"/>
  </w:num>
  <w:num w:numId="15">
    <w:abstractNumId w:val="12"/>
  </w:num>
  <w:num w:numId="16">
    <w:abstractNumId w:val="13"/>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83"/>
    <w:rsid w:val="00022129"/>
    <w:rsid w:val="00070CA5"/>
    <w:rsid w:val="0008458C"/>
    <w:rsid w:val="00086521"/>
    <w:rsid w:val="000B725D"/>
    <w:rsid w:val="000C711B"/>
    <w:rsid w:val="000F3A76"/>
    <w:rsid w:val="00104E7D"/>
    <w:rsid w:val="00132DA6"/>
    <w:rsid w:val="001462A8"/>
    <w:rsid w:val="00152F0A"/>
    <w:rsid w:val="00156327"/>
    <w:rsid w:val="001A5DDF"/>
    <w:rsid w:val="001B585A"/>
    <w:rsid w:val="001F36C0"/>
    <w:rsid w:val="002019AB"/>
    <w:rsid w:val="002044E3"/>
    <w:rsid w:val="00217EF0"/>
    <w:rsid w:val="0022180D"/>
    <w:rsid w:val="00286BBA"/>
    <w:rsid w:val="002B4632"/>
    <w:rsid w:val="00305138"/>
    <w:rsid w:val="0030637F"/>
    <w:rsid w:val="00355933"/>
    <w:rsid w:val="00370CC5"/>
    <w:rsid w:val="003C7C34"/>
    <w:rsid w:val="003E3E30"/>
    <w:rsid w:val="003F14FD"/>
    <w:rsid w:val="00455ADD"/>
    <w:rsid w:val="00461C39"/>
    <w:rsid w:val="004627F2"/>
    <w:rsid w:val="00462D62"/>
    <w:rsid w:val="004D4F03"/>
    <w:rsid w:val="004E79F8"/>
    <w:rsid w:val="00523158"/>
    <w:rsid w:val="005232F9"/>
    <w:rsid w:val="005405EC"/>
    <w:rsid w:val="00546006"/>
    <w:rsid w:val="00550AF2"/>
    <w:rsid w:val="006048D1"/>
    <w:rsid w:val="00606733"/>
    <w:rsid w:val="00656F49"/>
    <w:rsid w:val="0069403C"/>
    <w:rsid w:val="006A4D4A"/>
    <w:rsid w:val="006B108E"/>
    <w:rsid w:val="006C296F"/>
    <w:rsid w:val="006D6988"/>
    <w:rsid w:val="006F072F"/>
    <w:rsid w:val="006F538E"/>
    <w:rsid w:val="00721698"/>
    <w:rsid w:val="00771322"/>
    <w:rsid w:val="007B52BA"/>
    <w:rsid w:val="007C76ED"/>
    <w:rsid w:val="007E0593"/>
    <w:rsid w:val="007F110B"/>
    <w:rsid w:val="00820FB2"/>
    <w:rsid w:val="00836655"/>
    <w:rsid w:val="00873B76"/>
    <w:rsid w:val="0087464B"/>
    <w:rsid w:val="008A026B"/>
    <w:rsid w:val="008E5A7D"/>
    <w:rsid w:val="00907CA7"/>
    <w:rsid w:val="00907DD3"/>
    <w:rsid w:val="0092435E"/>
    <w:rsid w:val="00962526"/>
    <w:rsid w:val="00971591"/>
    <w:rsid w:val="009764FA"/>
    <w:rsid w:val="00977706"/>
    <w:rsid w:val="009933E5"/>
    <w:rsid w:val="009A005D"/>
    <w:rsid w:val="009A7706"/>
    <w:rsid w:val="009B01F5"/>
    <w:rsid w:val="009B1B86"/>
    <w:rsid w:val="00B07A34"/>
    <w:rsid w:val="00B120FD"/>
    <w:rsid w:val="00B313E7"/>
    <w:rsid w:val="00B539B0"/>
    <w:rsid w:val="00B57222"/>
    <w:rsid w:val="00B92487"/>
    <w:rsid w:val="00B97185"/>
    <w:rsid w:val="00BA4D1D"/>
    <w:rsid w:val="00BB17AC"/>
    <w:rsid w:val="00BB4CCE"/>
    <w:rsid w:val="00BC190A"/>
    <w:rsid w:val="00BD161D"/>
    <w:rsid w:val="00BE3EF8"/>
    <w:rsid w:val="00C11B09"/>
    <w:rsid w:val="00C30949"/>
    <w:rsid w:val="00C32742"/>
    <w:rsid w:val="00C60083"/>
    <w:rsid w:val="00D529B8"/>
    <w:rsid w:val="00D5427A"/>
    <w:rsid w:val="00D7232C"/>
    <w:rsid w:val="00DA3031"/>
    <w:rsid w:val="00DB2103"/>
    <w:rsid w:val="00DC1A26"/>
    <w:rsid w:val="00DE0251"/>
    <w:rsid w:val="00DE44C4"/>
    <w:rsid w:val="00DF66AA"/>
    <w:rsid w:val="00E33054"/>
    <w:rsid w:val="00E34CFC"/>
    <w:rsid w:val="00E51F53"/>
    <w:rsid w:val="00E70BDF"/>
    <w:rsid w:val="00EB0DA4"/>
    <w:rsid w:val="00F2366D"/>
    <w:rsid w:val="00F51D4C"/>
    <w:rsid w:val="00FA1E79"/>
    <w:rsid w:val="00FB515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E6B1F"/>
  <w15:docId w15:val="{48258AB7-3EFF-409B-A770-B5A169E0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A026B"/>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086521"/>
    <w:rPr>
      <w:color w:val="000000" w:themeColor="hyperlink"/>
      <w:u w:val="single"/>
    </w:rPr>
  </w:style>
  <w:style w:type="paragraph" w:customStyle="1" w:styleId="Default">
    <w:name w:val="Default"/>
    <w:rsid w:val="00656F49"/>
    <w:pPr>
      <w:autoSpaceDE w:val="0"/>
      <w:autoSpaceDN w:val="0"/>
      <w:adjustRightInd w:val="0"/>
      <w:spacing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104E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4DF7-9FBF-49FC-9B13-06E8A947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8297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cp:lastModifiedBy>POUYFAUCON Helene</cp:lastModifiedBy>
  <cp:revision>3</cp:revision>
  <cp:lastPrinted>2023-01-05T00:26:00Z</cp:lastPrinted>
  <dcterms:created xsi:type="dcterms:W3CDTF">2023-01-05T00:26:00Z</dcterms:created>
  <dcterms:modified xsi:type="dcterms:W3CDTF">2023-01-05T00:26:00Z</dcterms:modified>
</cp:coreProperties>
</file>